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93" w:rsidRDefault="00C63C93" w:rsidP="00A34C25">
      <w:pPr>
        <w:spacing w:after="0" w:line="240" w:lineRule="auto"/>
      </w:pPr>
    </w:p>
    <w:p w:rsidR="00C63C93" w:rsidRDefault="00C63C93" w:rsidP="00A34C25">
      <w:pPr>
        <w:spacing w:after="0" w:line="240" w:lineRule="auto"/>
      </w:pPr>
    </w:p>
    <w:p w:rsidR="00EE673A" w:rsidRPr="00BF10B3" w:rsidRDefault="00BF10B3" w:rsidP="00A34C25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BF10B3">
        <w:rPr>
          <w:b/>
          <w:sz w:val="28"/>
          <w:szCs w:val="28"/>
          <w:lang w:val="en-US"/>
        </w:rPr>
        <w:t>Iofolen</w:t>
      </w:r>
      <w:proofErr w:type="spellEnd"/>
      <w:r w:rsidRPr="000A1656">
        <w:rPr>
          <w:rFonts w:cstheme="minorHAnsi"/>
          <w:b/>
          <w:sz w:val="28"/>
          <w:szCs w:val="28"/>
        </w:rPr>
        <w:t>®</w:t>
      </w:r>
    </w:p>
    <w:p w:rsidR="00EE673A" w:rsidRPr="000A1656" w:rsidRDefault="00BF10B3" w:rsidP="00BF10B3">
      <w:pPr>
        <w:spacing w:after="0" w:line="240" w:lineRule="auto"/>
        <w:rPr>
          <w:b/>
        </w:rPr>
      </w:pPr>
      <w:r w:rsidRPr="000A1656">
        <w:rPr>
          <w:b/>
        </w:rPr>
        <w:t xml:space="preserve">                                                                                 </w:t>
      </w:r>
      <w:proofErr w:type="spellStart"/>
      <w:r w:rsidR="00EE673A">
        <w:rPr>
          <w:b/>
          <w:lang w:val="en-US"/>
        </w:rPr>
        <w:t>Lactancia</w:t>
      </w:r>
      <w:proofErr w:type="spellEnd"/>
    </w:p>
    <w:p w:rsidR="00BF10B3" w:rsidRPr="000A1656" w:rsidRDefault="00BF10B3" w:rsidP="00BF10B3">
      <w:pPr>
        <w:spacing w:after="0" w:line="240" w:lineRule="auto"/>
        <w:rPr>
          <w:b/>
        </w:rPr>
      </w:pPr>
    </w:p>
    <w:p w:rsidR="00BF10B3" w:rsidRDefault="00BF10B3" w:rsidP="00BF10B3">
      <w:pPr>
        <w:spacing w:after="0" w:line="240" w:lineRule="auto"/>
        <w:jc w:val="center"/>
        <w:rPr>
          <w:b/>
        </w:rPr>
      </w:pPr>
      <w:r>
        <w:rPr>
          <w:b/>
          <w:lang w:val="en-US"/>
        </w:rPr>
        <w:t>M</w:t>
      </w:r>
      <w:r>
        <w:rPr>
          <w:b/>
        </w:rPr>
        <w:t>ε</w:t>
      </w:r>
      <w:r w:rsidRPr="00BF10B3">
        <w:rPr>
          <w:b/>
        </w:rPr>
        <w:t xml:space="preserve"> </w:t>
      </w:r>
      <w:r>
        <w:rPr>
          <w:b/>
        </w:rPr>
        <w:t>Ω</w:t>
      </w:r>
      <w:r w:rsidRPr="00BF10B3">
        <w:rPr>
          <w:b/>
        </w:rPr>
        <w:t xml:space="preserve">-3 </w:t>
      </w:r>
      <w:r>
        <w:rPr>
          <w:b/>
        </w:rPr>
        <w:t>ΛΙΠΑΡΑ</w:t>
      </w:r>
      <w:r w:rsidRPr="00BF10B3">
        <w:rPr>
          <w:b/>
        </w:rPr>
        <w:t xml:space="preserve"> </w:t>
      </w:r>
      <w:r>
        <w:rPr>
          <w:b/>
        </w:rPr>
        <w:t>ΟΞΕΑ</w:t>
      </w:r>
      <w:r w:rsidRPr="00BF10B3">
        <w:rPr>
          <w:b/>
        </w:rPr>
        <w:t xml:space="preserve"> (</w:t>
      </w:r>
      <w:r>
        <w:rPr>
          <w:b/>
          <w:lang w:val="en-US"/>
        </w:rPr>
        <w:t>DHA</w:t>
      </w:r>
      <w:r w:rsidRPr="00BF10B3">
        <w:rPr>
          <w:b/>
        </w:rPr>
        <w:t xml:space="preserve">, </w:t>
      </w:r>
      <w:r>
        <w:rPr>
          <w:b/>
          <w:lang w:val="en-US"/>
        </w:rPr>
        <w:t>EPA</w:t>
      </w:r>
      <w:r w:rsidRPr="00BF10B3">
        <w:rPr>
          <w:b/>
        </w:rPr>
        <w:t xml:space="preserve">), </w:t>
      </w:r>
      <w:r>
        <w:rPr>
          <w:b/>
          <w:lang w:val="en-US"/>
        </w:rPr>
        <w:t>BITAMINE</w:t>
      </w:r>
      <w:r>
        <w:rPr>
          <w:b/>
        </w:rPr>
        <w:t>Σ ΚΑΙ ΑΝΟΡΓΑΝΑ ΣΤΟΙΧΕΙΑ</w:t>
      </w:r>
    </w:p>
    <w:p w:rsidR="00BF10B3" w:rsidRDefault="00BF10B3" w:rsidP="00BF10B3">
      <w:pPr>
        <w:spacing w:after="0" w:line="240" w:lineRule="auto"/>
        <w:jc w:val="center"/>
        <w:rPr>
          <w:b/>
        </w:rPr>
      </w:pPr>
    </w:p>
    <w:p w:rsidR="00BF10B3" w:rsidRDefault="00BF10B3" w:rsidP="00BF10B3">
      <w:pPr>
        <w:spacing w:after="0" w:line="240" w:lineRule="auto"/>
        <w:jc w:val="center"/>
        <w:rPr>
          <w:b/>
        </w:rPr>
      </w:pPr>
      <w:r>
        <w:rPr>
          <w:b/>
        </w:rPr>
        <w:t>Με ιώδιο, το οποίο συμβάλλει στη φυσιολογική γνωσιακή λειτουργία και στη φυσιολογική λειτουργία του νευρικού συστήματος</w:t>
      </w:r>
    </w:p>
    <w:p w:rsidR="00BF10B3" w:rsidRPr="00BF10B3" w:rsidRDefault="00BF10B3" w:rsidP="00BF10B3">
      <w:pPr>
        <w:spacing w:after="0" w:line="240" w:lineRule="auto"/>
        <w:rPr>
          <w:b/>
        </w:rPr>
      </w:pPr>
    </w:p>
    <w:p w:rsidR="00EE673A" w:rsidRPr="00BF10B3" w:rsidRDefault="00EE673A" w:rsidP="00A34C25">
      <w:pPr>
        <w:spacing w:after="0" w:line="240" w:lineRule="auto"/>
        <w:rPr>
          <w:b/>
        </w:rPr>
      </w:pPr>
    </w:p>
    <w:p w:rsidR="00EE673A" w:rsidRDefault="00EE673A" w:rsidP="00BF10B3">
      <w:pPr>
        <w:spacing w:after="0" w:line="240" w:lineRule="auto"/>
        <w:jc w:val="right"/>
      </w:pPr>
      <w:r>
        <w:t>Συσκευασία που</w:t>
      </w:r>
      <w:r w:rsidR="00BF10B3">
        <w:t xml:space="preserve"> </w:t>
      </w:r>
      <w:r>
        <w:t xml:space="preserve">περιέχει </w:t>
      </w:r>
      <w:r w:rsidRPr="00BF10B3">
        <w:rPr>
          <w:b/>
        </w:rPr>
        <w:t>60 κάψουλες</w:t>
      </w:r>
    </w:p>
    <w:p w:rsidR="00EE673A" w:rsidRPr="00350C18" w:rsidRDefault="00EE673A" w:rsidP="00A34C25">
      <w:pPr>
        <w:spacing w:after="0" w:line="240" w:lineRule="auto"/>
      </w:pPr>
    </w:p>
    <w:p w:rsidR="00EE673A" w:rsidRPr="00350C18" w:rsidRDefault="00EE673A" w:rsidP="00A34C25">
      <w:pPr>
        <w:spacing w:after="0" w:line="240" w:lineRule="auto"/>
      </w:pPr>
    </w:p>
    <w:p w:rsidR="00EE673A" w:rsidRPr="00754185" w:rsidRDefault="00EE673A" w:rsidP="00A34C25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Ι</w:t>
      </w:r>
      <w:r w:rsidRPr="00754185">
        <w:rPr>
          <w:b/>
          <w:u w:val="single"/>
        </w:rPr>
        <w:t xml:space="preserve">. Τι είναι το </w:t>
      </w:r>
      <w:r w:rsidRPr="00754185">
        <w:rPr>
          <w:b/>
          <w:u w:val="single"/>
          <w:lang w:val="en-US"/>
        </w:rPr>
        <w:t>IOFOLEN</w:t>
      </w:r>
      <w:r w:rsidRPr="00EE673A">
        <w:rPr>
          <w:b/>
          <w:u w:val="single"/>
        </w:rPr>
        <w:t xml:space="preserve"> </w:t>
      </w:r>
      <w:proofErr w:type="spellStart"/>
      <w:r w:rsidRPr="00EE673A">
        <w:rPr>
          <w:b/>
          <w:u w:val="single"/>
          <w:lang w:val="en-US"/>
        </w:rPr>
        <w:t>Lactancia</w:t>
      </w:r>
      <w:proofErr w:type="spellEnd"/>
      <w:r w:rsidRPr="00EE673A">
        <w:rPr>
          <w:b/>
          <w:u w:val="single"/>
        </w:rPr>
        <w:t>;</w:t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</w:p>
    <w:p w:rsidR="00EE673A" w:rsidRPr="003F2286" w:rsidRDefault="00EE673A" w:rsidP="00A34C25">
      <w:pPr>
        <w:spacing w:after="0" w:line="240" w:lineRule="auto"/>
      </w:pPr>
    </w:p>
    <w:p w:rsidR="00EE673A" w:rsidRDefault="00EE673A" w:rsidP="00A34C25">
      <w:pPr>
        <w:spacing w:after="0" w:line="240" w:lineRule="auto"/>
      </w:pPr>
      <w:r w:rsidRPr="008C108F">
        <w:t xml:space="preserve">Κατά τη διάρκεια του θηλασμού </w:t>
      </w:r>
      <w:r w:rsidR="008C108F">
        <w:t>υπάρχουν</w:t>
      </w:r>
      <w:r w:rsidRPr="008C108F">
        <w:t xml:space="preserve"> αυξημέν</w:t>
      </w:r>
      <w:r w:rsidR="008C108F">
        <w:t>ες</w:t>
      </w:r>
      <w:r w:rsidRPr="008C108F">
        <w:t xml:space="preserve"> </w:t>
      </w:r>
      <w:r w:rsidR="008C108F">
        <w:t>απαιτήσεις</w:t>
      </w:r>
      <w:r w:rsidRPr="008C108F">
        <w:t xml:space="preserve"> </w:t>
      </w:r>
      <w:r w:rsidR="008C108F">
        <w:t>σε</w:t>
      </w:r>
      <w:r w:rsidRPr="008C108F">
        <w:t xml:space="preserve"> βιταμίνες, μέταλλα και ιχνοστοιχεία για την παραγωγή του μητρικού γάλακτος</w:t>
      </w:r>
      <w:r w:rsidR="008C108F">
        <w:t xml:space="preserve">, χωρίς να μεταβάλλεται η </w:t>
      </w:r>
      <w:r w:rsidRPr="008C108F">
        <w:t xml:space="preserve">κατάσταση </w:t>
      </w:r>
      <w:r w:rsidR="008C108F">
        <w:t xml:space="preserve">θρέψης </w:t>
      </w:r>
      <w:r w:rsidRPr="008C108F">
        <w:t>της μητέρ</w:t>
      </w:r>
      <w:r w:rsidR="008C108F">
        <w:t>ας</w:t>
      </w:r>
      <w:r>
        <w:t>.</w:t>
      </w:r>
    </w:p>
    <w:p w:rsidR="00EE673A" w:rsidRDefault="00FE686D" w:rsidP="00A34C25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Το </w:t>
      </w:r>
      <w:r w:rsidRPr="00EE673A">
        <w:rPr>
          <w:rFonts w:eastAsia="Times New Roman" w:cs="Arial"/>
        </w:rPr>
        <w:t>I</w:t>
      </w:r>
      <w:r w:rsidR="004260F5" w:rsidRPr="00EE673A">
        <w:rPr>
          <w:rFonts w:eastAsia="Times New Roman" w:cs="Arial"/>
        </w:rPr>
        <w:t xml:space="preserve">ofolen </w:t>
      </w:r>
      <w:r w:rsidRPr="00EE673A">
        <w:rPr>
          <w:rFonts w:eastAsia="Times New Roman" w:cs="Arial"/>
        </w:rPr>
        <w:t>L</w:t>
      </w:r>
      <w:r w:rsidR="004260F5" w:rsidRPr="00EE673A">
        <w:rPr>
          <w:rFonts w:eastAsia="Times New Roman" w:cs="Arial"/>
        </w:rPr>
        <w:t>actancia</w:t>
      </w:r>
      <w:r>
        <w:rPr>
          <w:rFonts w:eastAsia="Times New Roman" w:cs="Arial"/>
        </w:rPr>
        <w:t xml:space="preserve"> είναι ένα συμπλήρωμα διατροφής </w:t>
      </w:r>
      <w:r w:rsidR="00316299">
        <w:rPr>
          <w:rFonts w:eastAsia="Times New Roman" w:cs="Arial"/>
        </w:rPr>
        <w:t xml:space="preserve">ειδικά </w:t>
      </w:r>
      <w:r>
        <w:rPr>
          <w:rFonts w:eastAsia="Times New Roman" w:cs="Arial"/>
        </w:rPr>
        <w:t xml:space="preserve">σχεδιασμένο για την κάλυψη των διατροφικών αναγκών της μητέρας </w:t>
      </w:r>
      <w:r w:rsidRPr="00FE686D">
        <w:rPr>
          <w:rFonts w:eastAsia="Times New Roman"/>
        </w:rPr>
        <w:t>καθ 'όλη τη διάρκεια τ</w:t>
      </w:r>
      <w:r>
        <w:rPr>
          <w:rFonts w:eastAsia="Times New Roman"/>
        </w:rPr>
        <w:t>ου θηλασμού.</w:t>
      </w:r>
    </w:p>
    <w:p w:rsidR="00FE686D" w:rsidRDefault="00FE686D" w:rsidP="00A34C25">
      <w:pPr>
        <w:spacing w:after="0" w:line="240" w:lineRule="auto"/>
        <w:rPr>
          <w:rFonts w:eastAsia="Times New Roman" w:cs="Arial"/>
        </w:rPr>
      </w:pPr>
    </w:p>
    <w:p w:rsidR="00FE686D" w:rsidRDefault="00FE686D" w:rsidP="00A34C25">
      <w:pPr>
        <w:spacing w:after="0" w:line="240" w:lineRule="auto"/>
      </w:pPr>
    </w:p>
    <w:p w:rsidR="00EE673A" w:rsidRPr="00C61C1C" w:rsidRDefault="00EE673A" w:rsidP="00C61C1C">
      <w:pPr>
        <w:spacing w:after="0" w:line="240" w:lineRule="auto"/>
        <w:jc w:val="both"/>
        <w:rPr>
          <w:b/>
          <w:u w:val="single"/>
        </w:rPr>
      </w:pPr>
      <w:r w:rsidRPr="00754185">
        <w:rPr>
          <w:b/>
          <w:u w:val="single"/>
        </w:rPr>
        <w:t xml:space="preserve">II. Ο ρόλος των κύριων συστατικών του </w:t>
      </w:r>
      <w:r w:rsidRPr="00754185">
        <w:rPr>
          <w:b/>
          <w:u w:val="single"/>
          <w:lang w:val="en-US"/>
        </w:rPr>
        <w:t>IOFOLEN</w:t>
      </w:r>
      <w:r w:rsidR="00FE686D">
        <w:rPr>
          <w:b/>
          <w:u w:val="single"/>
        </w:rPr>
        <w:t xml:space="preserve"> </w:t>
      </w:r>
      <w:proofErr w:type="spellStart"/>
      <w:r w:rsidR="00FE686D" w:rsidRPr="00EE673A">
        <w:rPr>
          <w:b/>
          <w:u w:val="single"/>
          <w:lang w:val="en-US"/>
        </w:rPr>
        <w:t>Lactancia</w:t>
      </w:r>
      <w:proofErr w:type="spellEnd"/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</w:p>
    <w:p w:rsidR="00EE673A" w:rsidRPr="00754185" w:rsidRDefault="00EE673A" w:rsidP="00A34C25">
      <w:pPr>
        <w:spacing w:after="0" w:line="240" w:lineRule="auto"/>
      </w:pPr>
    </w:p>
    <w:p w:rsidR="00EE673A" w:rsidRDefault="00316299" w:rsidP="00A34C25">
      <w:pPr>
        <w:pStyle w:val="a5"/>
        <w:numPr>
          <w:ilvl w:val="0"/>
          <w:numId w:val="1"/>
        </w:numPr>
        <w:spacing w:after="0" w:line="240" w:lineRule="auto"/>
        <w:ind w:left="567" w:hanging="567"/>
      </w:pPr>
      <w:r>
        <w:rPr>
          <w:b/>
        </w:rPr>
        <w:t>Φυλ</w:t>
      </w:r>
      <w:r w:rsidR="00EE673A">
        <w:rPr>
          <w:b/>
        </w:rPr>
        <w:t>λικό οξύ (Βιταμίνη Β9):</w:t>
      </w:r>
      <w:r w:rsidR="00EE673A">
        <w:t xml:space="preserve"> </w:t>
      </w:r>
      <w:r w:rsidR="00566C67">
        <w:t>Κ</w:t>
      </w:r>
      <w:r w:rsidR="00C91FB5">
        <w:t>ατά τη διάρκ</w:t>
      </w:r>
      <w:r>
        <w:t>εια του θηλασμού τα αποθέματα φυλ</w:t>
      </w:r>
      <w:r w:rsidR="00C91FB5">
        <w:t xml:space="preserve">λικού οξέος της μητέρας μπορεί να μειωθούν, καθώς </w:t>
      </w:r>
      <w:r>
        <w:t>αυτά αποτελούν πηγή πρόσληψης φυλ</w:t>
      </w:r>
      <w:r w:rsidR="00C91FB5">
        <w:t>λικού οξέος για το βρέφος και διαπερνούν στο μητρικό γάλα</w:t>
      </w:r>
      <w:r w:rsidR="00EE673A">
        <w:t>.</w:t>
      </w:r>
      <w:r>
        <w:t xml:space="preserve"> Το φυλ</w:t>
      </w:r>
      <w:r w:rsidR="00C91FB5">
        <w:t>λικό οξύ συμβάλλει στη φυσιολογ</w:t>
      </w:r>
      <w:r>
        <w:t>ική ψυχολογική λειτουργία. Το φυλ</w:t>
      </w:r>
      <w:r w:rsidR="00C91FB5">
        <w:t>λικό οξύ επίσης βοηθά στη μείωση της κούρασης και της κόπωσης.</w:t>
      </w:r>
    </w:p>
    <w:p w:rsidR="00C91FB5" w:rsidRDefault="00C91FB5" w:rsidP="00A34C25">
      <w:pPr>
        <w:pStyle w:val="a5"/>
        <w:numPr>
          <w:ilvl w:val="0"/>
          <w:numId w:val="1"/>
        </w:numPr>
        <w:spacing w:after="0" w:line="240" w:lineRule="auto"/>
        <w:ind w:left="567" w:hanging="567"/>
      </w:pPr>
      <w:r>
        <w:rPr>
          <w:b/>
        </w:rPr>
        <w:t>Βιταμίνη Α:</w:t>
      </w:r>
      <w:r w:rsidR="00566C67">
        <w:rPr>
          <w:b/>
        </w:rPr>
        <w:t xml:space="preserve"> </w:t>
      </w:r>
      <w:r w:rsidR="00566C67">
        <w:t>Η συγκέντρωση της βιταμίνης</w:t>
      </w:r>
      <w:r w:rsidR="00316299">
        <w:t xml:space="preserve"> </w:t>
      </w:r>
      <w:r w:rsidR="00566C67">
        <w:t>Α της μητέρας μειώνεται με την παράταση του θηλασμού. Το μητρικό γάλα αποτελεί την καλύτερη πηγή βιταμίνης Α για το βρέφος που θηλάζει.</w:t>
      </w:r>
    </w:p>
    <w:p w:rsidR="00566C67" w:rsidRPr="00566C67" w:rsidRDefault="00566C67" w:rsidP="00A34C25">
      <w:pPr>
        <w:pStyle w:val="a5"/>
        <w:numPr>
          <w:ilvl w:val="0"/>
          <w:numId w:val="1"/>
        </w:numPr>
        <w:spacing w:after="0" w:line="240" w:lineRule="auto"/>
        <w:ind w:left="567" w:hanging="567"/>
      </w:pPr>
      <w:r w:rsidRPr="00566C67">
        <w:rPr>
          <w:b/>
        </w:rPr>
        <w:t>Βιταμίνη D:</w:t>
      </w:r>
      <w:r w:rsidRPr="00566C67">
        <w:t xml:space="preserve"> </w:t>
      </w:r>
      <w:r>
        <w:t>Συμβάλλει σ</w:t>
      </w:r>
      <w:r w:rsidRPr="00566C67">
        <w:t>τη</w:t>
      </w:r>
      <w:r>
        <w:t xml:space="preserve"> φυσιολογική</w:t>
      </w:r>
      <w:r w:rsidRPr="00566C67">
        <w:t xml:space="preserve"> απορρόφηση </w:t>
      </w:r>
      <w:r>
        <w:t xml:space="preserve">και εναπόθεση </w:t>
      </w:r>
      <w:r w:rsidRPr="00566C67">
        <w:t xml:space="preserve">του ασβεστίου. </w:t>
      </w:r>
      <w:r>
        <w:t>Η</w:t>
      </w:r>
      <w:r w:rsidRPr="00566C67">
        <w:t xml:space="preserve"> </w:t>
      </w:r>
      <w:r>
        <w:t xml:space="preserve">συγκέντρωση της </w:t>
      </w:r>
      <w:r w:rsidRPr="00566C67">
        <w:t>βιταμίνη</w:t>
      </w:r>
      <w:r>
        <w:t>ς</w:t>
      </w:r>
      <w:r w:rsidRPr="00566C67">
        <w:t xml:space="preserve"> D </w:t>
      </w:r>
      <w:r>
        <w:t xml:space="preserve">στο μητρικό γάλα </w:t>
      </w:r>
      <w:r w:rsidRPr="00566C67">
        <w:t xml:space="preserve">εξαρτάται από τα επίπεδα της βιταμίνης </w:t>
      </w:r>
      <w:r w:rsidR="00702975">
        <w:rPr>
          <w:lang w:val="en-US"/>
        </w:rPr>
        <w:t>D</w:t>
      </w:r>
      <w:r w:rsidR="00702975" w:rsidRPr="00702975">
        <w:t xml:space="preserve"> </w:t>
      </w:r>
      <w:r w:rsidR="00702975">
        <w:t xml:space="preserve">στον οργανισμό της </w:t>
      </w:r>
      <w:r w:rsidRPr="00566C67">
        <w:t>μητέρα</w:t>
      </w:r>
      <w:r w:rsidR="00702975">
        <w:t>ς</w:t>
      </w:r>
      <w:r w:rsidRPr="00566C67">
        <w:t>.</w:t>
      </w:r>
    </w:p>
    <w:p w:rsidR="00C6317B" w:rsidRPr="00C6317B" w:rsidRDefault="00C6317B" w:rsidP="00A34C25">
      <w:pPr>
        <w:pStyle w:val="a5"/>
        <w:numPr>
          <w:ilvl w:val="0"/>
          <w:numId w:val="1"/>
        </w:numPr>
        <w:spacing w:after="0" w:line="240" w:lineRule="auto"/>
        <w:ind w:left="567" w:hanging="567"/>
      </w:pPr>
      <w:r w:rsidRPr="00C6317B">
        <w:rPr>
          <w:b/>
        </w:rPr>
        <w:t>Ιώδιο:</w:t>
      </w:r>
      <w:r w:rsidRPr="00C6317B">
        <w:t xml:space="preserve"> </w:t>
      </w:r>
      <w:r>
        <w:t>Οι θηλάζουσες γυναίκες</w:t>
      </w:r>
      <w:r w:rsidR="006366D9">
        <w:t xml:space="preserve"> </w:t>
      </w:r>
      <w:r w:rsidR="006366D9" w:rsidRPr="006366D9">
        <w:t xml:space="preserve">χρειάζονται σχεδόν </w:t>
      </w:r>
      <w:r w:rsidR="006366D9">
        <w:t>τη</w:t>
      </w:r>
      <w:r w:rsidR="006366D9" w:rsidRPr="006366D9">
        <w:t xml:space="preserve"> διπλάσι</w:t>
      </w:r>
      <w:r w:rsidR="006366D9">
        <w:t>α</w:t>
      </w:r>
      <w:r w:rsidR="006366D9" w:rsidRPr="006366D9">
        <w:t xml:space="preserve"> ποσ</w:t>
      </w:r>
      <w:r w:rsidR="006366D9">
        <w:t>ότητα</w:t>
      </w:r>
      <w:r w:rsidR="006366D9" w:rsidRPr="006366D9">
        <w:t xml:space="preserve"> ιωδίου </w:t>
      </w:r>
      <w:r w:rsidR="006366D9">
        <w:t>ενός</w:t>
      </w:r>
      <w:r w:rsidR="006366D9" w:rsidRPr="006366D9">
        <w:t xml:space="preserve"> ενήλικα</w:t>
      </w:r>
      <w:r w:rsidR="006366D9">
        <w:t>, προκειμένου να εξασφαλίσουν</w:t>
      </w:r>
      <w:r w:rsidR="006366D9" w:rsidRPr="006366D9">
        <w:t xml:space="preserve"> ότι το παιδί </w:t>
      </w:r>
      <w:r w:rsidR="006366D9">
        <w:t>τους</w:t>
      </w:r>
      <w:r w:rsidR="006366D9" w:rsidRPr="006366D9">
        <w:t xml:space="preserve"> λαμβάνει </w:t>
      </w:r>
      <w:r w:rsidR="006366D9">
        <w:t>την απαραίτητη ποσότητα</w:t>
      </w:r>
      <w:r w:rsidR="006366D9" w:rsidRPr="006366D9">
        <w:t xml:space="preserve"> ι</w:t>
      </w:r>
      <w:r w:rsidR="004260F5">
        <w:t>ω</w:t>
      </w:r>
      <w:r w:rsidR="006366D9" w:rsidRPr="006366D9">
        <w:t>δ</w:t>
      </w:r>
      <w:r w:rsidR="004260F5">
        <w:t>ί</w:t>
      </w:r>
      <w:r w:rsidR="006366D9" w:rsidRPr="006366D9">
        <w:t>ο</w:t>
      </w:r>
      <w:r w:rsidR="004260F5">
        <w:t>υ</w:t>
      </w:r>
      <w:r w:rsidR="006366D9" w:rsidRPr="006366D9">
        <w:t xml:space="preserve"> μέσω του γάλακτος</w:t>
      </w:r>
      <w:r w:rsidRPr="00C6317B">
        <w:t>.</w:t>
      </w:r>
      <w:r w:rsidR="00AC2F87">
        <w:t xml:space="preserve"> Το </w:t>
      </w:r>
      <w:r w:rsidR="00AC2F87" w:rsidRPr="00EE673A">
        <w:rPr>
          <w:rFonts w:eastAsia="Times New Roman" w:cs="Arial"/>
        </w:rPr>
        <w:t>ιώδιο συμβάλλει στη φυσιολογική γνωσιακή λειτουργία</w:t>
      </w:r>
      <w:r w:rsidR="00AC2F87">
        <w:rPr>
          <w:rFonts w:eastAsia="Times New Roman" w:cs="Arial"/>
        </w:rPr>
        <w:t>.</w:t>
      </w:r>
    </w:p>
    <w:p w:rsidR="00AE122F" w:rsidRDefault="00AE122F" w:rsidP="00A34C25">
      <w:pPr>
        <w:pStyle w:val="a5"/>
        <w:numPr>
          <w:ilvl w:val="0"/>
          <w:numId w:val="1"/>
        </w:numPr>
        <w:spacing w:after="0" w:line="240" w:lineRule="auto"/>
        <w:ind w:left="567" w:hanging="567"/>
      </w:pPr>
      <w:r>
        <w:rPr>
          <w:b/>
        </w:rPr>
        <w:t xml:space="preserve">Ασβέστιο: </w:t>
      </w:r>
      <w:r>
        <w:t>Οι απαιτήσεις της θηλάζουσας μητέρας σε ασβέστιο αυξάνουν σημαντικά,</w:t>
      </w:r>
      <w:r w:rsidR="005E5218" w:rsidRPr="005E5218">
        <w:t xml:space="preserve"> </w:t>
      </w:r>
      <w:r w:rsidR="005E5218">
        <w:t>με σκοπό τη δια</w:t>
      </w:r>
      <w:r w:rsidR="005E5218" w:rsidRPr="005E5218">
        <w:t xml:space="preserve">τήρηση </w:t>
      </w:r>
      <w:r w:rsidR="004260F5">
        <w:t xml:space="preserve">ενός </w:t>
      </w:r>
      <w:r w:rsidR="005E5218">
        <w:t>φυσιολογικού αποθέματος σ</w:t>
      </w:r>
      <w:r w:rsidR="005E5218" w:rsidRPr="005E5218">
        <w:t>τ</w:t>
      </w:r>
      <w:r w:rsidR="005E5218">
        <w:t>α</w:t>
      </w:r>
      <w:r w:rsidR="005E5218" w:rsidRPr="005E5218">
        <w:t xml:space="preserve"> οστ</w:t>
      </w:r>
      <w:r w:rsidR="005E5218">
        <w:t>ά</w:t>
      </w:r>
      <w:r w:rsidR="005E5218" w:rsidRPr="005E5218">
        <w:t xml:space="preserve"> και </w:t>
      </w:r>
      <w:r w:rsidR="005E5218">
        <w:t>την κάλυψη των</w:t>
      </w:r>
      <w:r w:rsidR="005E5218" w:rsidRPr="005E5218">
        <w:t xml:space="preserve"> απαιτήσε</w:t>
      </w:r>
      <w:r w:rsidR="005E5218">
        <w:t>ων</w:t>
      </w:r>
      <w:r w:rsidR="005E5218" w:rsidRPr="005E5218">
        <w:t xml:space="preserve"> </w:t>
      </w:r>
      <w:r w:rsidR="005E5218">
        <w:t>του</w:t>
      </w:r>
      <w:r w:rsidR="005E5218" w:rsidRPr="005E5218">
        <w:t xml:space="preserve"> </w:t>
      </w:r>
      <w:r w:rsidR="005E5218">
        <w:t xml:space="preserve">θηλασμού. </w:t>
      </w:r>
      <w:r w:rsidR="00144F4C">
        <w:t xml:space="preserve">Το ασβέστιο συμβάλλει στο φυσιολογικό μεταβολισμό της ενέργειας και είναι απαραίτητο για τη διατήρηση </w:t>
      </w:r>
      <w:r w:rsidR="00A34C25">
        <w:t xml:space="preserve">των </w:t>
      </w:r>
      <w:r w:rsidR="00144F4C">
        <w:t>φυσιολογικών οστών.</w:t>
      </w:r>
    </w:p>
    <w:p w:rsidR="00A34C25" w:rsidRPr="00566C67" w:rsidRDefault="00A34C25" w:rsidP="00A34C25">
      <w:pPr>
        <w:pStyle w:val="a5"/>
        <w:numPr>
          <w:ilvl w:val="0"/>
          <w:numId w:val="1"/>
        </w:numPr>
        <w:spacing w:after="0" w:line="240" w:lineRule="auto"/>
        <w:ind w:left="567" w:hanging="567"/>
      </w:pPr>
      <w:r>
        <w:rPr>
          <w:b/>
        </w:rPr>
        <w:t xml:space="preserve">Σίδηρος: </w:t>
      </w:r>
      <w:r w:rsidR="004260F5">
        <w:t>Σ</w:t>
      </w:r>
      <w:r w:rsidRPr="00A34C25">
        <w:t>υμβάλλει στ</w:t>
      </w:r>
      <w:r>
        <w:t>ο</w:t>
      </w:r>
      <w:r w:rsidRPr="00A34C25">
        <w:t xml:space="preserve"> </w:t>
      </w:r>
      <w:r>
        <w:t>φυσιολογικό</w:t>
      </w:r>
      <w:r w:rsidRPr="00A34C25">
        <w:t xml:space="preserve"> σχηματισμό των ερυθροκυττάρων</w:t>
      </w:r>
      <w:r>
        <w:t xml:space="preserve"> και της </w:t>
      </w:r>
      <w:r w:rsidRPr="00A34C25">
        <w:t>αιμοσφαιρίνης</w:t>
      </w:r>
      <w:r>
        <w:t xml:space="preserve">. Ένα </w:t>
      </w:r>
      <w:r w:rsidRPr="00A34C25">
        <w:t>επαρκ</w:t>
      </w:r>
      <w:r>
        <w:t>έ</w:t>
      </w:r>
      <w:r w:rsidRPr="00A34C25">
        <w:t xml:space="preserve">ς </w:t>
      </w:r>
      <w:r>
        <w:t>απόθεμα</w:t>
      </w:r>
      <w:r w:rsidRPr="00A34C25">
        <w:t xml:space="preserve"> βοηθά τη μητέρα να ανακτήσει </w:t>
      </w:r>
      <w:r>
        <w:t>τα επίπεδα σιδήρου μετά</w:t>
      </w:r>
      <w:r w:rsidRPr="00A34C25">
        <w:t xml:space="preserve"> τον τοκετό και </w:t>
      </w:r>
      <w:r w:rsidR="00F44D77">
        <w:t>συμβάλλει στην επίτευξη</w:t>
      </w:r>
      <w:r w:rsidRPr="00A34C25">
        <w:t xml:space="preserve"> τ</w:t>
      </w:r>
      <w:r w:rsidR="00F44D77">
        <w:t>ου απαιτούμενου</w:t>
      </w:r>
      <w:r w:rsidRPr="00A34C25">
        <w:t xml:space="preserve"> επ</w:t>
      </w:r>
      <w:r w:rsidR="00F44D77">
        <w:t>ι</w:t>
      </w:r>
      <w:r w:rsidRPr="00A34C25">
        <w:t>π</w:t>
      </w:r>
      <w:r w:rsidR="00F44D77">
        <w:t>έ</w:t>
      </w:r>
      <w:r w:rsidRPr="00A34C25">
        <w:t>δ</w:t>
      </w:r>
      <w:r>
        <w:t>ο</w:t>
      </w:r>
      <w:r w:rsidR="00F44D77">
        <w:t>υ σιδήρου</w:t>
      </w:r>
      <w:r w:rsidRPr="00A34C25">
        <w:t xml:space="preserve"> κατά τη διάρκεια </w:t>
      </w:r>
      <w:r w:rsidRPr="008C108F">
        <w:t>του θηλασμού</w:t>
      </w:r>
      <w:r>
        <w:t>.</w:t>
      </w:r>
    </w:p>
    <w:p w:rsidR="00EE673A" w:rsidRPr="002D6BFF" w:rsidRDefault="00EE673A" w:rsidP="00A34C25">
      <w:pPr>
        <w:pStyle w:val="a5"/>
        <w:numPr>
          <w:ilvl w:val="0"/>
          <w:numId w:val="1"/>
        </w:numPr>
        <w:spacing w:after="0" w:line="240" w:lineRule="auto"/>
        <w:ind w:left="567" w:hanging="567"/>
      </w:pPr>
      <w:r w:rsidRPr="00861EB9">
        <w:rPr>
          <w:b/>
        </w:rPr>
        <w:t>Ωμέγα</w:t>
      </w:r>
      <w:r w:rsidRPr="00861EB9">
        <w:rPr>
          <w:b/>
        </w:rPr>
        <w:noBreakHyphen/>
        <w:t>3 λιπαρά οξέα:</w:t>
      </w:r>
      <w:r w:rsidR="002D6BFF" w:rsidRPr="002D6BFF">
        <w:rPr>
          <w:rFonts w:ascii="Arial" w:hAnsi="Arial" w:cs="Arial"/>
          <w:color w:val="222222"/>
          <w:sz w:val="18"/>
          <w:szCs w:val="18"/>
        </w:rPr>
        <w:t xml:space="preserve"> </w:t>
      </w:r>
      <w:r w:rsidR="004260F5">
        <w:rPr>
          <w:rFonts w:ascii="Arial" w:hAnsi="Arial" w:cs="Arial"/>
          <w:color w:val="222222"/>
          <w:sz w:val="18"/>
          <w:szCs w:val="18"/>
        </w:rPr>
        <w:t>Ε</w:t>
      </w:r>
      <w:r w:rsidR="002D6BFF" w:rsidRPr="002D6BFF">
        <w:t>ίναι θρεπτικά συστατικά</w:t>
      </w:r>
      <w:r w:rsidR="004260F5">
        <w:t>,</w:t>
      </w:r>
      <w:r w:rsidR="002D6BFF" w:rsidRPr="002D6BFF">
        <w:t xml:space="preserve"> </w:t>
      </w:r>
      <w:r w:rsidR="002D6BFF">
        <w:t>τα οποία είναι απαραίτητα για τον οργανισμό</w:t>
      </w:r>
      <w:r w:rsidR="002D6BFF" w:rsidRPr="002D6BFF">
        <w:t xml:space="preserve"> και προσλαμβάν</w:t>
      </w:r>
      <w:r w:rsidR="002D6BFF">
        <w:t>ον</w:t>
      </w:r>
      <w:r w:rsidR="002D6BFF" w:rsidRPr="002D6BFF">
        <w:t xml:space="preserve">ται μόνο </w:t>
      </w:r>
      <w:r w:rsidR="002D6BFF">
        <w:t>μέσω</w:t>
      </w:r>
      <w:r w:rsidR="002D6BFF" w:rsidRPr="002D6BFF">
        <w:t xml:space="preserve"> τη</w:t>
      </w:r>
      <w:r w:rsidR="002D6BFF">
        <w:t>ς</w:t>
      </w:r>
      <w:r w:rsidR="002D6BFF" w:rsidRPr="002D6BFF">
        <w:t xml:space="preserve"> δ</w:t>
      </w:r>
      <w:r w:rsidR="002D6BFF">
        <w:t>ιατροφής</w:t>
      </w:r>
      <w:r w:rsidRPr="00861EB9">
        <w:t>.</w:t>
      </w:r>
      <w:r w:rsidR="002D6BFF">
        <w:t xml:space="preserve"> Το </w:t>
      </w:r>
      <w:r w:rsidR="002D6BFF">
        <w:rPr>
          <w:lang w:val="en-US"/>
        </w:rPr>
        <w:t>DHA</w:t>
      </w:r>
      <w:r w:rsidR="002D6BFF" w:rsidRPr="002D6BFF">
        <w:t xml:space="preserve"> συμβάλλει στη φυσιολογική ανάπτυξη του εγκεφάλου και των ματιών σε βρέφη που θηλάζουν. </w:t>
      </w:r>
      <w:r w:rsidR="002D6BFF">
        <w:t>Έ</w:t>
      </w:r>
      <w:r w:rsidR="00962567">
        <w:t>χει αναφερθεί ότι οι θηλάζουσες γ</w:t>
      </w:r>
      <w:r w:rsidR="002D6BFF" w:rsidRPr="002D6BFF">
        <w:t xml:space="preserve">υναίκες </w:t>
      </w:r>
      <w:r w:rsidR="00962567">
        <w:t>είχαν αυτή την ωφέλιμη επίδραση</w:t>
      </w:r>
      <w:r w:rsidR="002D6BFF" w:rsidRPr="002D6BFF">
        <w:t xml:space="preserve"> με ημερήσια πρόσληψη 200 </w:t>
      </w:r>
      <w:r w:rsidR="002D6BFF" w:rsidRPr="002D6BFF">
        <w:rPr>
          <w:lang w:val="en-US"/>
        </w:rPr>
        <w:t>mg</w:t>
      </w:r>
      <w:r w:rsidR="002D6BFF" w:rsidRPr="002D6BFF">
        <w:t xml:space="preserve"> </w:t>
      </w:r>
      <w:r w:rsidR="002D6BFF" w:rsidRPr="002D6BFF">
        <w:rPr>
          <w:lang w:val="en-US"/>
        </w:rPr>
        <w:t>DHA</w:t>
      </w:r>
      <w:r w:rsidR="00962567">
        <w:t>,</w:t>
      </w:r>
      <w:r w:rsidR="002D6BFF" w:rsidRPr="002D6BFF">
        <w:t xml:space="preserve"> </w:t>
      </w:r>
      <w:r w:rsidR="00962567">
        <w:t>επιπροσθέτως της</w:t>
      </w:r>
      <w:r w:rsidR="002D6BFF" w:rsidRPr="002D6BFF">
        <w:t xml:space="preserve"> συνιστώμενη</w:t>
      </w:r>
      <w:r w:rsidR="00962567">
        <w:t>ς</w:t>
      </w:r>
      <w:r w:rsidR="002D6BFF" w:rsidRPr="002D6BFF">
        <w:t xml:space="preserve"> ημερήσια</w:t>
      </w:r>
      <w:r w:rsidR="00962567">
        <w:t>ς</w:t>
      </w:r>
      <w:r w:rsidR="002D6BFF" w:rsidRPr="002D6BFF">
        <w:t xml:space="preserve"> πρόσληψη</w:t>
      </w:r>
      <w:r w:rsidR="00962567">
        <w:t>ς</w:t>
      </w:r>
      <w:r w:rsidR="002D6BFF" w:rsidRPr="002D6BFF">
        <w:t xml:space="preserve"> των </w:t>
      </w:r>
      <w:r w:rsidR="00962567" w:rsidRPr="002D6BFF">
        <w:t>ωμέγα</w:t>
      </w:r>
      <w:r w:rsidR="00962567">
        <w:noBreakHyphen/>
      </w:r>
      <w:r w:rsidR="00962567" w:rsidRPr="002D6BFF">
        <w:t>3</w:t>
      </w:r>
      <w:r w:rsidR="00962567">
        <w:t xml:space="preserve"> </w:t>
      </w:r>
      <w:r w:rsidR="002D6BFF" w:rsidRPr="002D6BFF">
        <w:t xml:space="preserve">λιπαρών οξέων για τους ενήλικες, </w:t>
      </w:r>
      <w:r w:rsidR="00962567">
        <w:t xml:space="preserve">η οποία </w:t>
      </w:r>
      <w:r w:rsidR="002D6BFF" w:rsidRPr="002D6BFF">
        <w:t>είναι 250</w:t>
      </w:r>
      <w:r w:rsidR="00962567">
        <w:t> </w:t>
      </w:r>
      <w:r w:rsidR="002D6BFF" w:rsidRPr="002D6BFF">
        <w:rPr>
          <w:lang w:val="en-US"/>
        </w:rPr>
        <w:t>mg</w:t>
      </w:r>
      <w:r w:rsidR="002D6BFF" w:rsidRPr="002D6BFF">
        <w:t xml:space="preserve"> </w:t>
      </w:r>
      <w:r w:rsidR="002D6BFF" w:rsidRPr="002D6BFF">
        <w:rPr>
          <w:lang w:val="en-US"/>
        </w:rPr>
        <w:t>DHA</w:t>
      </w:r>
      <w:r w:rsidR="002D6BFF" w:rsidRPr="002D6BFF">
        <w:t xml:space="preserve"> και </w:t>
      </w:r>
      <w:r w:rsidR="00962567">
        <w:rPr>
          <w:lang w:val="en-US"/>
        </w:rPr>
        <w:t>EPA</w:t>
      </w:r>
      <w:r w:rsidR="00962567" w:rsidRPr="00810524">
        <w:t>.</w:t>
      </w:r>
    </w:p>
    <w:p w:rsidR="00810524" w:rsidRPr="00E0780E" w:rsidRDefault="00810524" w:rsidP="00A34C25">
      <w:pPr>
        <w:spacing w:after="0" w:line="240" w:lineRule="auto"/>
      </w:pPr>
    </w:p>
    <w:p w:rsidR="00EE673A" w:rsidRPr="00E0780E" w:rsidRDefault="00EE673A" w:rsidP="00C61C1C">
      <w:pPr>
        <w:spacing w:after="0" w:line="240" w:lineRule="auto"/>
        <w:jc w:val="both"/>
        <w:rPr>
          <w:b/>
          <w:u w:val="single"/>
        </w:rPr>
      </w:pPr>
      <w:proofErr w:type="gramStart"/>
      <w:r w:rsidRPr="004260F5">
        <w:rPr>
          <w:b/>
          <w:u w:val="single"/>
          <w:lang w:val="en-US"/>
        </w:rPr>
        <w:t>II</w:t>
      </w:r>
      <w:r>
        <w:rPr>
          <w:b/>
          <w:u w:val="single"/>
        </w:rPr>
        <w:t>Ι</w:t>
      </w:r>
      <w:r w:rsidRPr="00E0780E">
        <w:rPr>
          <w:b/>
          <w:u w:val="single"/>
        </w:rPr>
        <w:t>.</w:t>
      </w:r>
      <w:proofErr w:type="gramEnd"/>
      <w:r w:rsidRPr="00E0780E">
        <w:rPr>
          <w:b/>
          <w:u w:val="single"/>
        </w:rPr>
        <w:t xml:space="preserve"> </w:t>
      </w:r>
      <w:r>
        <w:rPr>
          <w:b/>
          <w:u w:val="single"/>
        </w:rPr>
        <w:t>Σύνθεση</w:t>
      </w:r>
      <w:r w:rsidRPr="00E0780E">
        <w:rPr>
          <w:b/>
          <w:u w:val="single"/>
        </w:rPr>
        <w:tab/>
      </w:r>
      <w:r w:rsidRPr="00E0780E">
        <w:rPr>
          <w:b/>
          <w:u w:val="single"/>
        </w:rPr>
        <w:tab/>
      </w:r>
      <w:r w:rsidRPr="00E0780E">
        <w:rPr>
          <w:b/>
          <w:u w:val="single"/>
        </w:rPr>
        <w:tab/>
      </w:r>
      <w:r w:rsidRPr="00E0780E">
        <w:rPr>
          <w:b/>
          <w:u w:val="single"/>
        </w:rPr>
        <w:tab/>
      </w:r>
      <w:r w:rsidRPr="00E0780E">
        <w:rPr>
          <w:b/>
          <w:u w:val="single"/>
        </w:rPr>
        <w:tab/>
      </w:r>
      <w:r w:rsidRPr="00E0780E">
        <w:rPr>
          <w:b/>
          <w:u w:val="single"/>
        </w:rPr>
        <w:tab/>
      </w:r>
      <w:r w:rsidRPr="00E0780E">
        <w:rPr>
          <w:b/>
          <w:u w:val="single"/>
        </w:rPr>
        <w:tab/>
      </w:r>
      <w:r w:rsidRPr="00E0780E">
        <w:rPr>
          <w:b/>
          <w:u w:val="single"/>
        </w:rPr>
        <w:tab/>
      </w:r>
      <w:r w:rsidRPr="00E0780E">
        <w:rPr>
          <w:b/>
          <w:u w:val="single"/>
        </w:rPr>
        <w:tab/>
      </w:r>
      <w:r w:rsidRPr="00E0780E">
        <w:rPr>
          <w:b/>
          <w:u w:val="single"/>
        </w:rPr>
        <w:tab/>
      </w:r>
      <w:r w:rsidR="00C61C1C" w:rsidRPr="00E0780E">
        <w:rPr>
          <w:b/>
          <w:u w:val="single"/>
        </w:rPr>
        <w:tab/>
      </w:r>
    </w:p>
    <w:p w:rsidR="00EE673A" w:rsidRPr="00E0780E" w:rsidRDefault="00EE673A" w:rsidP="00A34C25">
      <w:pPr>
        <w:spacing w:after="0" w:line="240" w:lineRule="auto"/>
      </w:pPr>
    </w:p>
    <w:p w:rsidR="00EE673A" w:rsidRPr="00E0780E" w:rsidRDefault="00EE673A" w:rsidP="00A34C25">
      <w:pPr>
        <w:spacing w:after="0" w:line="240" w:lineRule="auto"/>
      </w:pPr>
      <w:r w:rsidRPr="00367561">
        <w:rPr>
          <w:b/>
        </w:rPr>
        <w:t>Συστατικά</w:t>
      </w:r>
      <w:r w:rsidRPr="00E0780E">
        <w:rPr>
          <w:b/>
        </w:rPr>
        <w:t>:</w:t>
      </w:r>
      <w:r w:rsidR="00334523" w:rsidRPr="00E0780E">
        <w:t xml:space="preserve"> </w:t>
      </w:r>
      <w:r w:rsidR="00334523" w:rsidRPr="00EE673A">
        <w:rPr>
          <w:rFonts w:eastAsia="Times New Roman" w:cs="Arial"/>
        </w:rPr>
        <w:t>ανθρακικό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ασβέστιο</w:t>
      </w:r>
      <w:r w:rsidR="00334523" w:rsidRPr="00E0780E">
        <w:rPr>
          <w:rFonts w:eastAsia="Times New Roman" w:cs="Arial"/>
        </w:rPr>
        <w:t>,</w:t>
      </w:r>
      <w:r w:rsidR="00334523" w:rsidRPr="00E0780E">
        <w:rPr>
          <w:rFonts w:eastAsia="Times New Roman" w:cs="Arial"/>
          <w:b/>
          <w:bCs/>
          <w:i/>
          <w:iCs/>
        </w:rPr>
        <w:t xml:space="preserve"> </w:t>
      </w:r>
      <w:r w:rsidR="00334523" w:rsidRPr="00EE673A">
        <w:rPr>
          <w:rFonts w:eastAsia="Times New Roman" w:cs="Arial"/>
          <w:b/>
          <w:bCs/>
          <w:i/>
          <w:iCs/>
        </w:rPr>
        <w:t>ιχθυέλαιο</w:t>
      </w:r>
      <w:r w:rsidR="00334523" w:rsidRPr="00E0780E">
        <w:rPr>
          <w:rFonts w:eastAsia="Times New Roman" w:cs="Arial"/>
          <w:b/>
          <w:bCs/>
          <w:i/>
          <w:iCs/>
        </w:rPr>
        <w:t xml:space="preserve"> </w:t>
      </w:r>
      <w:r w:rsidR="00334523" w:rsidRPr="00E0780E">
        <w:rPr>
          <w:rFonts w:eastAsia="Times New Roman" w:cs="Arial"/>
        </w:rPr>
        <w:t>(</w:t>
      </w:r>
      <w:r w:rsidR="00334523" w:rsidRPr="004260F5">
        <w:rPr>
          <w:rFonts w:eastAsia="Times New Roman" w:cs="Arial"/>
          <w:lang w:val="en-US"/>
        </w:rPr>
        <w:t>DHA</w:t>
      </w:r>
      <w:r w:rsidR="00334523" w:rsidRPr="00E0780E">
        <w:rPr>
          <w:rFonts w:eastAsia="Times New Roman" w:cs="Arial"/>
        </w:rPr>
        <w:t>/</w:t>
      </w:r>
      <w:r w:rsidR="00334523" w:rsidRPr="004260F5">
        <w:rPr>
          <w:rFonts w:eastAsia="Times New Roman" w:cs="Arial"/>
          <w:lang w:val="en-US"/>
        </w:rPr>
        <w:t>EPA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Ωμέγα</w:t>
      </w:r>
      <w:r w:rsidR="004260F5" w:rsidRPr="00E0780E">
        <w:rPr>
          <w:rFonts w:eastAsia="Times New Roman" w:cs="Arial"/>
        </w:rPr>
        <w:noBreakHyphen/>
      </w:r>
      <w:r w:rsidR="00334523" w:rsidRPr="00E0780E">
        <w:rPr>
          <w:rFonts w:eastAsia="Times New Roman" w:cs="Arial"/>
        </w:rPr>
        <w:t xml:space="preserve">3), </w:t>
      </w:r>
      <w:r w:rsidR="00334523" w:rsidRPr="00EE673A">
        <w:rPr>
          <w:rFonts w:eastAsia="Times New Roman" w:cs="Arial"/>
        </w:rPr>
        <w:t>παράγοντας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επικάλυψης</w:t>
      </w:r>
      <w:r w:rsidR="00334523" w:rsidRPr="00E0780E">
        <w:rPr>
          <w:rFonts w:eastAsia="Times New Roman" w:cs="Arial"/>
        </w:rPr>
        <w:t xml:space="preserve"> (</w:t>
      </w:r>
      <w:r w:rsidR="00334523" w:rsidRPr="00EE673A">
        <w:rPr>
          <w:rFonts w:eastAsia="Times New Roman" w:cs="Arial"/>
        </w:rPr>
        <w:t>ζελατίνη</w:t>
      </w:r>
      <w:r w:rsidR="00334523" w:rsidRPr="00E0780E">
        <w:rPr>
          <w:rFonts w:eastAsia="Times New Roman" w:cs="Arial"/>
        </w:rPr>
        <w:t xml:space="preserve">), </w:t>
      </w:r>
      <w:r w:rsidR="00334523" w:rsidRPr="00EE673A">
        <w:rPr>
          <w:rFonts w:eastAsia="Times New Roman" w:cs="Arial"/>
        </w:rPr>
        <w:t>παράγοντας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πλήρωσης</w:t>
      </w:r>
      <w:r w:rsidR="00334523" w:rsidRPr="00E0780E">
        <w:rPr>
          <w:rFonts w:eastAsia="Times New Roman" w:cs="Arial"/>
        </w:rPr>
        <w:t xml:space="preserve"> (</w:t>
      </w:r>
      <w:r w:rsidR="00334523" w:rsidRPr="00EE673A">
        <w:rPr>
          <w:rFonts w:eastAsia="Times New Roman" w:cs="Arial"/>
        </w:rPr>
        <w:t>εξευγενισμένο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λινέλαιο</w:t>
      </w:r>
      <w:r w:rsidR="00334523" w:rsidRPr="00E0780E">
        <w:rPr>
          <w:rFonts w:eastAsia="Times New Roman" w:cs="Arial"/>
        </w:rPr>
        <w:t xml:space="preserve">), </w:t>
      </w:r>
      <w:r w:rsidR="00334523" w:rsidRPr="004260F5">
        <w:rPr>
          <w:rFonts w:eastAsia="Times New Roman" w:cs="Arial"/>
          <w:lang w:val="en-US"/>
        </w:rPr>
        <w:t>L</w:t>
      </w:r>
      <w:r w:rsidR="004260F5" w:rsidRPr="00E0780E">
        <w:rPr>
          <w:rFonts w:eastAsia="Times New Roman" w:cs="Arial"/>
        </w:rPr>
        <w:noBreakHyphen/>
      </w:r>
      <w:r w:rsidR="00334523" w:rsidRPr="00EE673A">
        <w:rPr>
          <w:rFonts w:eastAsia="Times New Roman" w:cs="Arial"/>
        </w:rPr>
        <w:t>ασκορβικό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οξύ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παράγοντας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διαβροχής</w:t>
      </w:r>
      <w:r w:rsidR="00334523" w:rsidRPr="00E0780E">
        <w:rPr>
          <w:rFonts w:eastAsia="Times New Roman" w:cs="Arial"/>
        </w:rPr>
        <w:t xml:space="preserve"> (</w:t>
      </w:r>
      <w:r w:rsidR="00334523" w:rsidRPr="00EE673A">
        <w:rPr>
          <w:rFonts w:eastAsia="Times New Roman" w:cs="Arial"/>
        </w:rPr>
        <w:t>γλυκερίνη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Ε</w:t>
      </w:r>
      <w:r w:rsidR="00334523" w:rsidRPr="00E0780E">
        <w:rPr>
          <w:rFonts w:eastAsia="Times New Roman" w:cs="Arial"/>
        </w:rPr>
        <w:t xml:space="preserve">422), </w:t>
      </w:r>
      <w:r w:rsidR="00334523" w:rsidRPr="00EE673A">
        <w:rPr>
          <w:rFonts w:eastAsia="Times New Roman" w:cs="Arial"/>
        </w:rPr>
        <w:t>φουμαρικός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σίδηρος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παράγοντας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διαβροχής</w:t>
      </w:r>
      <w:r w:rsidR="00334523" w:rsidRPr="00E0780E">
        <w:rPr>
          <w:rFonts w:eastAsia="Times New Roman" w:cs="Arial"/>
        </w:rPr>
        <w:t xml:space="preserve"> (</w:t>
      </w:r>
      <w:r w:rsidR="00334523" w:rsidRPr="00EE673A">
        <w:rPr>
          <w:rFonts w:eastAsia="Times New Roman" w:cs="Arial"/>
        </w:rPr>
        <w:t>σορβιτόλη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Ε</w:t>
      </w:r>
      <w:r w:rsidR="00334523" w:rsidRPr="00E0780E">
        <w:rPr>
          <w:rFonts w:eastAsia="Times New Roman" w:cs="Arial"/>
        </w:rPr>
        <w:t xml:space="preserve">420), </w:t>
      </w:r>
      <w:r w:rsidR="00334523" w:rsidRPr="00EE673A">
        <w:rPr>
          <w:rFonts w:eastAsia="Times New Roman" w:cs="Arial"/>
        </w:rPr>
        <w:t>ταυρίνη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οξική</w:t>
      </w:r>
      <w:r w:rsidR="00334523" w:rsidRPr="00E0780E">
        <w:rPr>
          <w:rFonts w:eastAsia="Times New Roman" w:cs="Arial"/>
        </w:rPr>
        <w:t xml:space="preserve"> </w:t>
      </w:r>
      <w:r w:rsidR="00334523" w:rsidRPr="004260F5">
        <w:rPr>
          <w:rFonts w:eastAsia="Times New Roman" w:cs="Arial"/>
          <w:lang w:val="en-US"/>
        </w:rPr>
        <w:t>DL</w:t>
      </w:r>
      <w:r w:rsidR="004260F5" w:rsidRPr="00E0780E">
        <w:rPr>
          <w:rFonts w:eastAsia="Times New Roman" w:cs="Arial"/>
        </w:rPr>
        <w:noBreakHyphen/>
      </w:r>
      <w:r w:rsidR="00334523" w:rsidRPr="00EE673A">
        <w:rPr>
          <w:rFonts w:eastAsia="Times New Roman" w:cs="Arial"/>
        </w:rPr>
        <w:t>άλφα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τοκοφερόλη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γαλακτωματοποιητής</w:t>
      </w:r>
      <w:r w:rsidR="00334523" w:rsidRPr="00E0780E">
        <w:rPr>
          <w:rFonts w:eastAsia="Times New Roman" w:cs="Arial"/>
        </w:rPr>
        <w:t xml:space="preserve"> (</w:t>
      </w:r>
      <w:r w:rsidR="00334523" w:rsidRPr="00EE673A">
        <w:rPr>
          <w:rFonts w:eastAsia="Times New Roman" w:cs="Arial"/>
        </w:rPr>
        <w:t>λεκιθίνη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ηλιελαίου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Ε</w:t>
      </w:r>
      <w:r w:rsidR="00334523" w:rsidRPr="00E0780E">
        <w:rPr>
          <w:rFonts w:eastAsia="Times New Roman" w:cs="Arial"/>
        </w:rPr>
        <w:t xml:space="preserve">322), </w:t>
      </w:r>
      <w:r w:rsidR="00334523" w:rsidRPr="00EE673A">
        <w:rPr>
          <w:rFonts w:eastAsia="Times New Roman" w:cs="Arial"/>
        </w:rPr>
        <w:t>νικοτιναμίδιο</w:t>
      </w:r>
      <w:r w:rsidR="00334523" w:rsidRPr="00E0780E">
        <w:rPr>
          <w:rFonts w:eastAsia="Times New Roman" w:cs="Arial"/>
        </w:rPr>
        <w:t xml:space="preserve">, </w:t>
      </w:r>
      <w:r w:rsidR="00316299" w:rsidRPr="00EE673A">
        <w:rPr>
          <w:rFonts w:eastAsia="Times New Roman" w:cs="Arial"/>
        </w:rPr>
        <w:t>οξείδιο</w:t>
      </w:r>
      <w:r w:rsidR="00316299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ψευδαργύρου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φυτικά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έλαια</w:t>
      </w:r>
      <w:r w:rsidR="00334523" w:rsidRPr="00E0780E">
        <w:rPr>
          <w:rFonts w:eastAsia="Times New Roman" w:cs="Arial"/>
        </w:rPr>
        <w:t xml:space="preserve">, </w:t>
      </w:r>
      <w:r w:rsidR="00334523" w:rsidRPr="004260F5">
        <w:rPr>
          <w:rFonts w:eastAsia="Times New Roman" w:cs="Arial"/>
          <w:lang w:val="en-US"/>
        </w:rPr>
        <w:t>D</w:t>
      </w:r>
      <w:r w:rsidR="00334A60" w:rsidRPr="00E0780E">
        <w:rPr>
          <w:rFonts w:eastAsia="Times New Roman" w:cs="Arial"/>
        </w:rPr>
        <w:noBreakHyphen/>
      </w:r>
      <w:r w:rsidR="00334523" w:rsidRPr="00EE673A">
        <w:rPr>
          <w:rFonts w:eastAsia="Times New Roman" w:cs="Arial"/>
        </w:rPr>
        <w:t>παντοθενικό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ασβέστιο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γαλακτωματοποιητής</w:t>
      </w:r>
      <w:r w:rsidR="00334523" w:rsidRPr="00E0780E">
        <w:rPr>
          <w:rFonts w:eastAsia="Times New Roman" w:cs="Arial"/>
        </w:rPr>
        <w:t xml:space="preserve"> (</w:t>
      </w:r>
      <w:r w:rsidR="00334523" w:rsidRPr="00EE673A">
        <w:rPr>
          <w:rFonts w:eastAsia="Times New Roman" w:cs="Arial"/>
        </w:rPr>
        <w:t>κηρός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κίτρινος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Ε</w:t>
      </w:r>
      <w:r w:rsidR="00334523" w:rsidRPr="00E0780E">
        <w:rPr>
          <w:rFonts w:eastAsia="Times New Roman" w:cs="Arial"/>
        </w:rPr>
        <w:t xml:space="preserve">901), </w:t>
      </w:r>
      <w:r w:rsidR="00334523" w:rsidRPr="00EE673A">
        <w:rPr>
          <w:rFonts w:eastAsia="Times New Roman" w:cs="Arial"/>
        </w:rPr>
        <w:t>παλμιτικό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ρετινύλιο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κυανοκοβαλαμίνη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θειικός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χαλκός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χρωστική</w:t>
      </w:r>
      <w:r w:rsidR="00334523" w:rsidRPr="00E0780E">
        <w:rPr>
          <w:rFonts w:eastAsia="Times New Roman" w:cs="Arial"/>
        </w:rPr>
        <w:t xml:space="preserve"> (</w:t>
      </w:r>
      <w:r w:rsidR="00316299" w:rsidRPr="00EE673A">
        <w:rPr>
          <w:rFonts w:eastAsia="Times New Roman" w:cs="Arial"/>
        </w:rPr>
        <w:t xml:space="preserve">ερυθρό </w:t>
      </w:r>
      <w:r w:rsidR="00316299" w:rsidRPr="00316299">
        <w:rPr>
          <w:rFonts w:eastAsia="Times New Roman" w:cs="Arial"/>
        </w:rPr>
        <w:t xml:space="preserve">οξείδιο </w:t>
      </w:r>
      <w:r w:rsidR="00334523" w:rsidRPr="00EE673A">
        <w:rPr>
          <w:rFonts w:eastAsia="Times New Roman" w:cs="Arial"/>
        </w:rPr>
        <w:t>σιδήρου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Ε</w:t>
      </w:r>
      <w:r w:rsidR="00334523" w:rsidRPr="00E0780E">
        <w:rPr>
          <w:rFonts w:eastAsia="Times New Roman" w:cs="Arial"/>
        </w:rPr>
        <w:t xml:space="preserve">172), </w:t>
      </w:r>
      <w:r w:rsidR="00334523" w:rsidRPr="00EE673A">
        <w:rPr>
          <w:rFonts w:eastAsia="Times New Roman" w:cs="Arial"/>
        </w:rPr>
        <w:t>πυριδοξίνη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υδροχλωρική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ριβοφλαβίνη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μονονιτρική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θειαμίνη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χρωστική</w:t>
      </w:r>
      <w:r w:rsidR="00334523" w:rsidRPr="00E0780E">
        <w:rPr>
          <w:rFonts w:eastAsia="Times New Roman" w:cs="Arial"/>
        </w:rPr>
        <w:t xml:space="preserve"> (</w:t>
      </w:r>
      <w:r w:rsidR="00316299" w:rsidRPr="00EE673A">
        <w:rPr>
          <w:rFonts w:eastAsia="Times New Roman" w:cs="Arial"/>
        </w:rPr>
        <w:t>μέλαν</w:t>
      </w:r>
      <w:r w:rsidR="00316299" w:rsidRPr="00E0780E">
        <w:rPr>
          <w:rFonts w:eastAsia="Times New Roman" w:cs="Arial"/>
        </w:rPr>
        <w:t xml:space="preserve"> </w:t>
      </w:r>
      <w:r w:rsidR="00316299" w:rsidRPr="00EE673A">
        <w:rPr>
          <w:rFonts w:eastAsia="Times New Roman" w:cs="Arial"/>
        </w:rPr>
        <w:t>οξείδιο</w:t>
      </w:r>
      <w:r w:rsidR="00316299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σιδ</w:t>
      </w:r>
      <w:r w:rsidR="00316299">
        <w:rPr>
          <w:rFonts w:eastAsia="Times New Roman" w:cs="Arial"/>
        </w:rPr>
        <w:t>ή</w:t>
      </w:r>
      <w:r w:rsidR="00334523" w:rsidRPr="00EE673A">
        <w:rPr>
          <w:rFonts w:eastAsia="Times New Roman" w:cs="Arial"/>
        </w:rPr>
        <w:t>ρου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Ε</w:t>
      </w:r>
      <w:r w:rsidR="00334523" w:rsidRPr="00E0780E">
        <w:rPr>
          <w:rFonts w:eastAsia="Times New Roman" w:cs="Arial"/>
        </w:rPr>
        <w:t xml:space="preserve">172), </w:t>
      </w:r>
      <w:r w:rsidR="00334523" w:rsidRPr="00EE673A">
        <w:rPr>
          <w:rFonts w:eastAsia="Times New Roman" w:cs="Arial"/>
        </w:rPr>
        <w:t>ιωδικό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κάλιο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πτεροϋλομονογλουταμικό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οξύ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χοληκαλσιφερόλη</w:t>
      </w:r>
      <w:r w:rsidR="00334523" w:rsidRPr="00E0780E">
        <w:rPr>
          <w:rFonts w:eastAsia="Times New Roman" w:cs="Arial"/>
        </w:rPr>
        <w:t xml:space="preserve">, </w:t>
      </w:r>
      <w:r w:rsidR="00334523" w:rsidRPr="004260F5">
        <w:rPr>
          <w:rFonts w:eastAsia="Times New Roman" w:cs="Arial"/>
          <w:lang w:val="en-US"/>
        </w:rPr>
        <w:t>D</w:t>
      </w:r>
      <w:r w:rsidR="00334A60" w:rsidRPr="00E0780E">
        <w:rPr>
          <w:rFonts w:eastAsia="Times New Roman" w:cs="Arial"/>
        </w:rPr>
        <w:noBreakHyphen/>
      </w:r>
      <w:r w:rsidR="00334523" w:rsidRPr="00EE673A">
        <w:rPr>
          <w:rFonts w:eastAsia="Times New Roman" w:cs="Arial"/>
        </w:rPr>
        <w:t>βιοτίνη</w:t>
      </w:r>
      <w:r w:rsidR="00334523" w:rsidRPr="00E0780E">
        <w:rPr>
          <w:rFonts w:eastAsia="Times New Roman" w:cs="Arial"/>
        </w:rPr>
        <w:t xml:space="preserve">, </w:t>
      </w:r>
      <w:r w:rsidR="00334523" w:rsidRPr="00EE673A">
        <w:rPr>
          <w:rFonts w:eastAsia="Times New Roman" w:cs="Arial"/>
        </w:rPr>
        <w:t>σεληνιώδες</w:t>
      </w:r>
      <w:r w:rsidR="00334523" w:rsidRPr="00E0780E">
        <w:rPr>
          <w:rFonts w:eastAsia="Times New Roman" w:cs="Arial"/>
        </w:rPr>
        <w:t xml:space="preserve"> </w:t>
      </w:r>
      <w:r w:rsidR="00334523" w:rsidRPr="00EE673A">
        <w:rPr>
          <w:rFonts w:eastAsia="Times New Roman" w:cs="Arial"/>
        </w:rPr>
        <w:t>νάτριο</w:t>
      </w:r>
      <w:r w:rsidR="00334523" w:rsidRPr="00E0780E">
        <w:rPr>
          <w:rFonts w:eastAsia="Times New Roman" w:cs="Arial"/>
        </w:rPr>
        <w:t>.</w:t>
      </w:r>
    </w:p>
    <w:p w:rsidR="00334523" w:rsidRPr="00E0780E" w:rsidRDefault="00334523" w:rsidP="00A34C2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851"/>
        <w:gridCol w:w="1148"/>
        <w:gridCol w:w="1545"/>
        <w:gridCol w:w="1276"/>
        <w:gridCol w:w="992"/>
      </w:tblGrid>
      <w:tr w:rsidR="00334523" w:rsidRPr="007B7C66" w:rsidTr="009F03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16299">
              <w:rPr>
                <w:rFonts w:eastAsia="Times New Roman" w:cs="Times New Roman"/>
                <w:b/>
                <w:sz w:val="18"/>
                <w:szCs w:val="18"/>
              </w:rPr>
              <w:t>Διατροφικές πληροφορίες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316299">
              <w:rPr>
                <w:rFonts w:eastAsia="Times New Roman" w:cs="Times New Roman"/>
                <w:b/>
                <w:sz w:val="18"/>
                <w:szCs w:val="18"/>
              </w:rPr>
              <w:t>Ανά ημερήσια δόση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316299">
              <w:rPr>
                <w:rFonts w:eastAsia="Times New Roman" w:cs="Times New Roman"/>
                <w:b/>
                <w:sz w:val="18"/>
                <w:szCs w:val="18"/>
              </w:rPr>
              <w:t>(2 κάψουλες)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16299">
              <w:rPr>
                <w:rFonts w:eastAsia="Times New Roman" w:cs="Times New Roman"/>
                <w:b/>
                <w:sz w:val="18"/>
                <w:szCs w:val="18"/>
              </w:rPr>
              <w:t>% ΔTA*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523" w:rsidRPr="007B7C66" w:rsidRDefault="00334523" w:rsidP="00A34C25">
            <w:pPr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16299">
              <w:rPr>
                <w:rFonts w:eastAsia="Times New Roman" w:cs="Times New Roman"/>
                <w:b/>
                <w:sz w:val="18"/>
                <w:szCs w:val="18"/>
              </w:rPr>
              <w:t>Διατροφικές πληροφορίες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316299">
              <w:rPr>
                <w:rFonts w:eastAsia="Times New Roman" w:cs="Times New Roman"/>
                <w:b/>
                <w:sz w:val="18"/>
                <w:szCs w:val="18"/>
              </w:rPr>
              <w:t>Ανά ημερήσια δόση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316299">
              <w:rPr>
                <w:rFonts w:eastAsia="Times New Roman" w:cs="Times New Roman"/>
                <w:b/>
                <w:sz w:val="18"/>
                <w:szCs w:val="18"/>
              </w:rPr>
              <w:t>(2 κάψουλες)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16299">
              <w:rPr>
                <w:rFonts w:eastAsia="Times New Roman" w:cs="Times New Roman"/>
                <w:b/>
                <w:sz w:val="18"/>
                <w:szCs w:val="18"/>
              </w:rPr>
              <w:t>% ΔTA*</w:t>
            </w:r>
          </w:p>
        </w:tc>
      </w:tr>
      <w:tr w:rsidR="00334523" w:rsidRPr="007B7C66" w:rsidTr="009F037C">
        <w:trPr>
          <w:trHeight w:val="24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523" w:rsidRPr="00316299" w:rsidRDefault="009F037C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Φυλ</w:t>
            </w:r>
            <w:r w:rsidR="00334523" w:rsidRPr="00316299">
              <w:rPr>
                <w:rFonts w:eastAsia="Times New Roman" w:cs="Arial"/>
                <w:bCs/>
                <w:sz w:val="18"/>
                <w:szCs w:val="18"/>
              </w:rPr>
              <w:t>λικό οξύ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 (Β9)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Βιταμίνη Β12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Βιταμίνη Β1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Βιταμίνη Β2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Νιασίνη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Παντοθενικό οξύ</w:t>
            </w:r>
            <w:r w:rsidR="009F037C">
              <w:rPr>
                <w:rFonts w:eastAsia="Calibri" w:cs="Arial"/>
                <w:bCs/>
                <w:sz w:val="18"/>
                <w:szCs w:val="18"/>
              </w:rPr>
              <w:t xml:space="preserve"> (Β5)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Βιταμίνη Β6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Βιοτίνη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 xml:space="preserve">Βιταμίνη </w:t>
            </w:r>
            <w:r w:rsidRPr="00316299">
              <w:rPr>
                <w:rFonts w:eastAsia="Times New Roman" w:cs="Arial"/>
                <w:sz w:val="18"/>
                <w:szCs w:val="18"/>
                <w:lang w:val="en-US"/>
              </w:rPr>
              <w:t>C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Βιταμίνη 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200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</w:rPr>
              <w:t>μ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2,5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</w:rPr>
              <w:t>μ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1,1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mg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1,4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mg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16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mg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6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mg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1,4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mg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50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</w:rPr>
              <w:t>μ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80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mg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800 μ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523" w:rsidRPr="007B7C66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 xml:space="preserve">Βιταμίνη </w:t>
            </w:r>
            <w:r w:rsidRPr="00316299">
              <w:rPr>
                <w:rFonts w:eastAsia="Times New Roman" w:cs="Arial"/>
                <w:sz w:val="18"/>
                <w:szCs w:val="18"/>
                <w:lang w:val="en-US"/>
              </w:rPr>
              <w:t>D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Βιταμίνη Ε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Ιώδιο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Σίδηρος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Ψευδάργυρος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Χαλκός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Σελήνιο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Ασβέστιο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Ταυρίνη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Ωμέγα</w:t>
            </w:r>
            <w:r w:rsidRPr="00316299">
              <w:rPr>
                <w:rFonts w:eastAsia="Times New Roman" w:cs="Arial"/>
                <w:sz w:val="18"/>
                <w:szCs w:val="18"/>
              </w:rPr>
              <w:noBreakHyphen/>
              <w:t>3 (</w:t>
            </w:r>
            <w:r w:rsidRPr="00316299">
              <w:rPr>
                <w:rFonts w:eastAsia="Times New Roman" w:cs="Arial"/>
                <w:sz w:val="18"/>
                <w:szCs w:val="18"/>
                <w:lang w:val="en-US"/>
              </w:rPr>
              <w:t>DHA</w:t>
            </w:r>
            <w:r w:rsidRPr="00316299">
              <w:rPr>
                <w:rFonts w:eastAsia="Times New Roman" w:cs="Arial"/>
                <w:sz w:val="18"/>
                <w:szCs w:val="18"/>
              </w:rPr>
              <w:t>)</w:t>
            </w:r>
          </w:p>
          <w:p w:rsidR="00334523" w:rsidRPr="00316299" w:rsidRDefault="00334523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Ωμέγα</w:t>
            </w:r>
            <w:r w:rsidRPr="00316299">
              <w:rPr>
                <w:rFonts w:eastAsia="Times New Roman" w:cs="Arial"/>
                <w:sz w:val="18"/>
                <w:szCs w:val="18"/>
              </w:rPr>
              <w:noBreakHyphen/>
              <w:t>3 (ΕΡ</w:t>
            </w:r>
            <w:r w:rsidRPr="00316299">
              <w:rPr>
                <w:rFonts w:eastAsia="Times New Roman" w:cs="Arial"/>
                <w:sz w:val="18"/>
                <w:szCs w:val="18"/>
                <w:lang w:val="en-US"/>
              </w:rPr>
              <w:t>A</w:t>
            </w:r>
            <w:r w:rsidRPr="00316299">
              <w:rPr>
                <w:rFonts w:eastAsia="Times New Roman" w:cs="Arial"/>
                <w:sz w:val="18"/>
                <w:szCs w:val="18"/>
              </w:rPr>
              <w:t>)</w:t>
            </w:r>
          </w:p>
          <w:p w:rsidR="00C24681" w:rsidRPr="00316299" w:rsidRDefault="00C24681" w:rsidP="00A34C2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5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</w:rPr>
              <w:t>μ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12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mg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200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</w:rPr>
              <w:t>μ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14 </w:t>
            </w:r>
            <w:r w:rsidRPr="00316299">
              <w:rPr>
                <w:rFonts w:eastAsia="Calibri" w:cs="Arial"/>
                <w:bCs/>
                <w:sz w:val="18"/>
                <w:szCs w:val="18"/>
                <w:lang w:val="en-US"/>
              </w:rPr>
              <w:t>mg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10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</w:rPr>
              <w:t>mg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1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</w:rPr>
              <w:t>mg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20 μg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200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</w:rPr>
              <w:t>mg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40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</w:rPr>
              <w:t>mg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200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</w:rPr>
              <w:t>mg</w:t>
            </w:r>
          </w:p>
          <w:p w:rsidR="00334523" w:rsidRPr="00316299" w:rsidRDefault="00334523" w:rsidP="007B7C66">
            <w:pPr>
              <w:spacing w:after="0" w:line="240" w:lineRule="auto"/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316299">
              <w:rPr>
                <w:rFonts w:eastAsia="Calibri" w:cs="Arial"/>
                <w:bCs/>
                <w:sz w:val="18"/>
                <w:szCs w:val="18"/>
              </w:rPr>
              <w:t>40</w:t>
            </w:r>
            <w:r w:rsidR="007B7C66" w:rsidRPr="00316299">
              <w:rPr>
                <w:rFonts w:eastAsia="Calibri" w:cs="Arial"/>
                <w:bCs/>
                <w:sz w:val="18"/>
                <w:szCs w:val="18"/>
              </w:rPr>
              <w:t> </w:t>
            </w:r>
            <w:r w:rsidRPr="00316299">
              <w:rPr>
                <w:rFonts w:eastAsia="Calibri" w:cs="Arial"/>
                <w:bCs/>
                <w:sz w:val="18"/>
                <w:szCs w:val="18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133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100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36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25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-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-</w:t>
            </w:r>
          </w:p>
          <w:p w:rsidR="00334523" w:rsidRPr="00316299" w:rsidRDefault="00334523" w:rsidP="00A34C2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6299">
              <w:rPr>
                <w:rFonts w:eastAsia="Times New Roman" w:cs="Arial"/>
                <w:sz w:val="18"/>
                <w:szCs w:val="18"/>
              </w:rPr>
              <w:t>-</w:t>
            </w:r>
          </w:p>
        </w:tc>
      </w:tr>
    </w:tbl>
    <w:p w:rsidR="00334523" w:rsidRDefault="00334523" w:rsidP="00A34C25">
      <w:pPr>
        <w:spacing w:after="0" w:line="240" w:lineRule="auto"/>
      </w:pPr>
    </w:p>
    <w:p w:rsidR="00EE673A" w:rsidRPr="00BD2AE5" w:rsidRDefault="00EE673A" w:rsidP="00A34C25">
      <w:pPr>
        <w:spacing w:after="0" w:line="240" w:lineRule="auto"/>
      </w:pPr>
      <w:r w:rsidRPr="00BD2AE5">
        <w:t>* ΔΤΑ (Διατροφικές Τιμές Αναφοράς)</w:t>
      </w:r>
    </w:p>
    <w:p w:rsidR="00EE673A" w:rsidRDefault="00EE673A" w:rsidP="00A34C25">
      <w:pPr>
        <w:spacing w:after="0" w:line="24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E673A" w:rsidTr="00EE673A">
        <w:tc>
          <w:tcPr>
            <w:tcW w:w="2840" w:type="dxa"/>
          </w:tcPr>
          <w:p w:rsidR="00EE673A" w:rsidRPr="00C24681" w:rsidRDefault="00EE673A" w:rsidP="00A34C25">
            <w:pPr>
              <w:jc w:val="center"/>
              <w:rPr>
                <w:b/>
              </w:rPr>
            </w:pPr>
            <w:r w:rsidRPr="00C24681">
              <w:rPr>
                <w:b/>
              </w:rPr>
              <w:t>Διατροφικές πληροφορίες</w:t>
            </w:r>
          </w:p>
        </w:tc>
        <w:tc>
          <w:tcPr>
            <w:tcW w:w="2841" w:type="dxa"/>
          </w:tcPr>
          <w:p w:rsidR="00EE673A" w:rsidRPr="00C24681" w:rsidRDefault="00EE673A" w:rsidP="00A34C25">
            <w:pPr>
              <w:jc w:val="center"/>
            </w:pPr>
            <w:r w:rsidRPr="00C24681">
              <w:rPr>
                <w:b/>
              </w:rPr>
              <w:t xml:space="preserve">Ανά </w:t>
            </w:r>
            <w:r w:rsidR="00C24681" w:rsidRPr="00C24681">
              <w:rPr>
                <w:b/>
              </w:rPr>
              <w:t xml:space="preserve">1 </w:t>
            </w:r>
            <w:r w:rsidRPr="00C24681">
              <w:rPr>
                <w:b/>
              </w:rPr>
              <w:t>κάψουλα</w:t>
            </w:r>
          </w:p>
        </w:tc>
        <w:tc>
          <w:tcPr>
            <w:tcW w:w="2841" w:type="dxa"/>
          </w:tcPr>
          <w:p w:rsidR="00EE673A" w:rsidRPr="00C24681" w:rsidRDefault="00EE673A" w:rsidP="00A34C25">
            <w:pPr>
              <w:jc w:val="center"/>
              <w:rPr>
                <w:lang w:val="en-US"/>
              </w:rPr>
            </w:pPr>
            <w:r w:rsidRPr="00C24681">
              <w:rPr>
                <w:b/>
              </w:rPr>
              <w:t>Ανά 100 </w:t>
            </w:r>
            <w:r w:rsidRPr="00C24681">
              <w:rPr>
                <w:b/>
                <w:lang w:val="en-US"/>
              </w:rPr>
              <w:t>g</w:t>
            </w:r>
          </w:p>
        </w:tc>
      </w:tr>
      <w:tr w:rsidR="00EE673A" w:rsidTr="00EE673A">
        <w:tc>
          <w:tcPr>
            <w:tcW w:w="2840" w:type="dxa"/>
          </w:tcPr>
          <w:p w:rsidR="00EE673A" w:rsidRPr="00C24681" w:rsidRDefault="00EE673A" w:rsidP="00A34C25">
            <w:r w:rsidRPr="00C24681">
              <w:t>Ενέργεια</w:t>
            </w:r>
          </w:p>
        </w:tc>
        <w:tc>
          <w:tcPr>
            <w:tcW w:w="2841" w:type="dxa"/>
          </w:tcPr>
          <w:p w:rsidR="00EE673A" w:rsidRPr="00C24681" w:rsidRDefault="00C24681" w:rsidP="00B601B4">
            <w:pPr>
              <w:jc w:val="center"/>
              <w:rPr>
                <w:lang w:val="en-US"/>
              </w:rPr>
            </w:pPr>
            <w:r w:rsidRPr="00C24681">
              <w:t>3</w:t>
            </w:r>
            <w:r w:rsidR="00EE673A" w:rsidRPr="00C24681">
              <w:t>,</w:t>
            </w:r>
            <w:r w:rsidRPr="00C24681">
              <w:t>26</w:t>
            </w:r>
            <w:r>
              <w:t> </w:t>
            </w:r>
            <w:r w:rsidR="00EE673A" w:rsidRPr="00C24681">
              <w:rPr>
                <w:lang w:val="en-US"/>
              </w:rPr>
              <w:t>kcal (1</w:t>
            </w:r>
            <w:r w:rsidRPr="00C24681">
              <w:t>3</w:t>
            </w:r>
            <w:r w:rsidR="00EE673A" w:rsidRPr="00C24681">
              <w:rPr>
                <w:lang w:val="en-US"/>
              </w:rPr>
              <w:t>,</w:t>
            </w:r>
            <w:r w:rsidRPr="00C24681">
              <w:t>6</w:t>
            </w:r>
            <w:r w:rsidR="00EE673A" w:rsidRPr="00C24681">
              <w:rPr>
                <w:lang w:val="en-US"/>
              </w:rPr>
              <w:t>9</w:t>
            </w:r>
            <w:r w:rsidR="00B601B4">
              <w:t> </w:t>
            </w:r>
            <w:proofErr w:type="spellStart"/>
            <w:r w:rsidR="00EE673A" w:rsidRPr="00C24681">
              <w:rPr>
                <w:lang w:val="en-US"/>
              </w:rPr>
              <w:t>Kj</w:t>
            </w:r>
            <w:proofErr w:type="spellEnd"/>
            <w:r w:rsidR="00EE673A" w:rsidRPr="00C24681">
              <w:rPr>
                <w:lang w:val="en-US"/>
              </w:rPr>
              <w:t>)</w:t>
            </w:r>
          </w:p>
        </w:tc>
        <w:tc>
          <w:tcPr>
            <w:tcW w:w="2841" w:type="dxa"/>
          </w:tcPr>
          <w:p w:rsidR="00EE673A" w:rsidRPr="00C24681" w:rsidRDefault="00C24681" w:rsidP="00A34C25">
            <w:pPr>
              <w:jc w:val="center"/>
            </w:pPr>
            <w:r>
              <w:t>376,032 </w:t>
            </w:r>
            <w:r w:rsidR="00EE673A" w:rsidRPr="00C24681">
              <w:t>kcal (</w:t>
            </w:r>
            <w:r>
              <w:t>1.579,33 </w:t>
            </w:r>
            <w:r w:rsidR="00EE673A" w:rsidRPr="00C24681">
              <w:rPr>
                <w:lang w:val="en-US"/>
              </w:rPr>
              <w:t>K</w:t>
            </w:r>
            <w:r w:rsidR="00EE673A" w:rsidRPr="00C24681">
              <w:t>j)</w:t>
            </w:r>
          </w:p>
        </w:tc>
      </w:tr>
      <w:tr w:rsidR="00EE673A" w:rsidTr="00EE673A">
        <w:tc>
          <w:tcPr>
            <w:tcW w:w="2840" w:type="dxa"/>
          </w:tcPr>
          <w:p w:rsidR="00EE673A" w:rsidRPr="00C24681" w:rsidRDefault="00EE673A" w:rsidP="00A34C25">
            <w:r w:rsidRPr="00C24681">
              <w:t>Πρωτεΐνες</w:t>
            </w:r>
          </w:p>
        </w:tc>
        <w:tc>
          <w:tcPr>
            <w:tcW w:w="2841" w:type="dxa"/>
          </w:tcPr>
          <w:p w:rsidR="00EE673A" w:rsidRPr="00C24681" w:rsidRDefault="00EE673A" w:rsidP="00A34C25">
            <w:pPr>
              <w:jc w:val="center"/>
              <w:rPr>
                <w:lang w:val="en-US"/>
              </w:rPr>
            </w:pPr>
            <w:r w:rsidRPr="00C24681">
              <w:rPr>
                <w:lang w:val="en-US"/>
              </w:rPr>
              <w:t>0,13</w:t>
            </w:r>
            <w:r w:rsidR="00C24681" w:rsidRPr="00C24681">
              <w:t>4 </w:t>
            </w:r>
            <w:r w:rsidRPr="00C24681">
              <w:rPr>
                <w:lang w:val="en-US"/>
              </w:rPr>
              <w:t>g</w:t>
            </w:r>
          </w:p>
        </w:tc>
        <w:tc>
          <w:tcPr>
            <w:tcW w:w="2841" w:type="dxa"/>
          </w:tcPr>
          <w:p w:rsidR="00EE673A" w:rsidRPr="00C24681" w:rsidRDefault="00EE673A" w:rsidP="00A34C25">
            <w:pPr>
              <w:jc w:val="center"/>
            </w:pPr>
            <w:r w:rsidRPr="00C24681">
              <w:t>1</w:t>
            </w:r>
            <w:r w:rsidR="00C24681">
              <w:t>5</w:t>
            </w:r>
            <w:r w:rsidRPr="00C24681">
              <w:t>,</w:t>
            </w:r>
            <w:r w:rsidR="00C24681">
              <w:t>46 </w:t>
            </w:r>
            <w:r w:rsidRPr="00C24681">
              <w:t>g</w:t>
            </w:r>
          </w:p>
        </w:tc>
      </w:tr>
      <w:tr w:rsidR="00EE673A" w:rsidTr="00EE673A">
        <w:tc>
          <w:tcPr>
            <w:tcW w:w="2840" w:type="dxa"/>
          </w:tcPr>
          <w:p w:rsidR="00EE673A" w:rsidRPr="00C24681" w:rsidRDefault="00EE673A" w:rsidP="00A34C25">
            <w:r w:rsidRPr="00C24681">
              <w:t>Υδατάνθρακες</w:t>
            </w:r>
          </w:p>
        </w:tc>
        <w:tc>
          <w:tcPr>
            <w:tcW w:w="2841" w:type="dxa"/>
          </w:tcPr>
          <w:p w:rsidR="00EE673A" w:rsidRPr="00C24681" w:rsidRDefault="00EE673A" w:rsidP="00A34C25">
            <w:pPr>
              <w:jc w:val="center"/>
            </w:pPr>
            <w:r w:rsidRPr="00C24681">
              <w:rPr>
                <w:lang w:val="en-US"/>
              </w:rPr>
              <w:t>0,0025</w:t>
            </w:r>
            <w:r w:rsidR="00C24681">
              <w:t> </w:t>
            </w:r>
            <w:r w:rsidRPr="00C24681">
              <w:rPr>
                <w:lang w:val="en-US"/>
              </w:rPr>
              <w:t>g</w:t>
            </w:r>
          </w:p>
        </w:tc>
        <w:tc>
          <w:tcPr>
            <w:tcW w:w="2841" w:type="dxa"/>
          </w:tcPr>
          <w:p w:rsidR="00EE673A" w:rsidRPr="00C24681" w:rsidRDefault="00EE673A" w:rsidP="00A34C25">
            <w:pPr>
              <w:jc w:val="center"/>
            </w:pPr>
            <w:r w:rsidRPr="00C24681">
              <w:t>0,2</w:t>
            </w:r>
            <w:r w:rsidR="00C24681">
              <w:t>9 </w:t>
            </w:r>
            <w:r w:rsidRPr="00C24681">
              <w:t>g</w:t>
            </w:r>
          </w:p>
        </w:tc>
      </w:tr>
      <w:tr w:rsidR="00EE673A" w:rsidTr="00EE673A">
        <w:tc>
          <w:tcPr>
            <w:tcW w:w="2840" w:type="dxa"/>
          </w:tcPr>
          <w:p w:rsidR="00EE673A" w:rsidRPr="00C24681" w:rsidRDefault="00EE673A" w:rsidP="00A34C25">
            <w:r w:rsidRPr="00C24681">
              <w:t>Λιπαρά</w:t>
            </w:r>
          </w:p>
        </w:tc>
        <w:tc>
          <w:tcPr>
            <w:tcW w:w="2841" w:type="dxa"/>
          </w:tcPr>
          <w:p w:rsidR="00EE673A" w:rsidRPr="00C24681" w:rsidRDefault="00EE673A" w:rsidP="00A34C25">
            <w:pPr>
              <w:jc w:val="center"/>
            </w:pPr>
            <w:r w:rsidRPr="00C24681">
              <w:rPr>
                <w:lang w:val="en-US"/>
              </w:rPr>
              <w:t>0,3</w:t>
            </w:r>
            <w:r w:rsidR="00C24681">
              <w:t>01 </w:t>
            </w:r>
            <w:r w:rsidRPr="00C24681">
              <w:rPr>
                <w:lang w:val="en-US"/>
              </w:rPr>
              <w:t>g</w:t>
            </w:r>
          </w:p>
        </w:tc>
        <w:tc>
          <w:tcPr>
            <w:tcW w:w="2841" w:type="dxa"/>
          </w:tcPr>
          <w:p w:rsidR="00EE673A" w:rsidRPr="00C24681" w:rsidRDefault="00C24681" w:rsidP="00A34C25">
            <w:pPr>
              <w:jc w:val="center"/>
            </w:pPr>
            <w:r>
              <w:t>34</w:t>
            </w:r>
            <w:r w:rsidR="00EE673A" w:rsidRPr="00C24681">
              <w:t>,</w:t>
            </w:r>
            <w:r>
              <w:t>78 </w:t>
            </w:r>
            <w:r w:rsidR="00EE673A" w:rsidRPr="00C24681">
              <w:t>g</w:t>
            </w:r>
          </w:p>
        </w:tc>
      </w:tr>
    </w:tbl>
    <w:p w:rsidR="00EE673A" w:rsidRDefault="00EE673A" w:rsidP="00A34C25">
      <w:pPr>
        <w:spacing w:after="0" w:line="240" w:lineRule="auto"/>
        <w:rPr>
          <w:lang w:val="en-US"/>
        </w:rPr>
      </w:pPr>
    </w:p>
    <w:p w:rsidR="00EE673A" w:rsidRPr="00BD2AE5" w:rsidRDefault="00EE673A" w:rsidP="00031A0B">
      <w:pPr>
        <w:spacing w:after="0" w:line="240" w:lineRule="auto"/>
        <w:rPr>
          <w:b/>
          <w:sz w:val="20"/>
          <w:szCs w:val="20"/>
        </w:rPr>
      </w:pPr>
      <w:r w:rsidRPr="00BD2AE5">
        <w:rPr>
          <w:b/>
          <w:sz w:val="20"/>
          <w:szCs w:val="20"/>
        </w:rPr>
        <w:t>Χωρίς σάκχαρα. Ελεύθερο γλουτένης.</w:t>
      </w:r>
    </w:p>
    <w:p w:rsidR="00EE673A" w:rsidRDefault="00EE673A" w:rsidP="00A34C25">
      <w:pPr>
        <w:spacing w:after="0" w:line="240" w:lineRule="auto"/>
        <w:rPr>
          <w:lang w:val="en-US"/>
        </w:rPr>
      </w:pPr>
    </w:p>
    <w:p w:rsidR="00810524" w:rsidRPr="00810524" w:rsidRDefault="00810524" w:rsidP="00A34C25">
      <w:pPr>
        <w:spacing w:after="0" w:line="240" w:lineRule="auto"/>
        <w:rPr>
          <w:lang w:val="en-US"/>
        </w:rPr>
      </w:pPr>
    </w:p>
    <w:p w:rsidR="00EE673A" w:rsidRPr="00B601B4" w:rsidRDefault="00EE673A" w:rsidP="00C61C1C">
      <w:pPr>
        <w:spacing w:after="0" w:line="240" w:lineRule="auto"/>
        <w:jc w:val="both"/>
        <w:rPr>
          <w:b/>
          <w:u w:val="single"/>
        </w:rPr>
      </w:pPr>
      <w:r w:rsidRPr="0052769A">
        <w:rPr>
          <w:b/>
          <w:u w:val="single"/>
          <w:lang w:val="en-US"/>
        </w:rPr>
        <w:t>IV</w:t>
      </w:r>
      <w:r w:rsidRPr="00B601B4">
        <w:rPr>
          <w:b/>
          <w:u w:val="single"/>
        </w:rPr>
        <w:t xml:space="preserve">. </w:t>
      </w:r>
      <w:r w:rsidRPr="0052769A">
        <w:rPr>
          <w:b/>
          <w:u w:val="single"/>
        </w:rPr>
        <w:t>Τρόπος χρήσης</w:t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</w:p>
    <w:p w:rsidR="00EE673A" w:rsidRPr="00B601B4" w:rsidRDefault="00EE673A" w:rsidP="00A34C25">
      <w:pPr>
        <w:spacing w:after="0" w:line="240" w:lineRule="auto"/>
      </w:pPr>
    </w:p>
    <w:p w:rsidR="00C24681" w:rsidRPr="00EE673A" w:rsidRDefault="00C24681" w:rsidP="00A34C25">
      <w:pPr>
        <w:spacing w:after="0" w:line="240" w:lineRule="auto"/>
        <w:rPr>
          <w:rFonts w:eastAsia="Times New Roman" w:cs="Arial"/>
        </w:rPr>
      </w:pPr>
      <w:r w:rsidRPr="00031A0B">
        <w:rPr>
          <w:rFonts w:eastAsia="Times New Roman" w:cs="Arial"/>
          <w:b/>
        </w:rPr>
        <w:t>Συνιστώμενη Ημερήσια Δόση</w:t>
      </w:r>
      <w:r w:rsidRPr="00EE673A">
        <w:rPr>
          <w:rFonts w:eastAsia="Times New Roman" w:cs="Arial"/>
        </w:rPr>
        <w:t xml:space="preserve">: </w:t>
      </w:r>
      <w:r>
        <w:rPr>
          <w:rFonts w:eastAsia="Times New Roman" w:cs="Arial"/>
        </w:rPr>
        <w:t>π</w:t>
      </w:r>
      <w:r w:rsidRPr="00EE673A">
        <w:rPr>
          <w:rFonts w:eastAsia="Times New Roman" w:cs="Arial"/>
        </w:rPr>
        <w:t>άρτε δύο κάψουλες I</w:t>
      </w:r>
      <w:r w:rsidR="00B601B4" w:rsidRPr="00EE673A">
        <w:rPr>
          <w:rFonts w:eastAsia="Times New Roman" w:cs="Arial"/>
        </w:rPr>
        <w:t>ofolen</w:t>
      </w:r>
      <w:r w:rsidRPr="00EE673A">
        <w:rPr>
          <w:rFonts w:eastAsia="Times New Roman" w:cs="Arial"/>
        </w:rPr>
        <w:t xml:space="preserve"> L</w:t>
      </w:r>
      <w:r w:rsidR="00B601B4" w:rsidRPr="00EE673A">
        <w:rPr>
          <w:rFonts w:eastAsia="Times New Roman" w:cs="Arial"/>
        </w:rPr>
        <w:t>actancia</w:t>
      </w:r>
      <w:r w:rsidRPr="00EE673A">
        <w:rPr>
          <w:rFonts w:eastAsia="Times New Roman" w:cs="Arial"/>
        </w:rPr>
        <w:t xml:space="preserve"> ημερησίως με ένα ποτήρι νερό.</w:t>
      </w:r>
      <w:r w:rsidR="00031A0B">
        <w:rPr>
          <w:rFonts w:eastAsia="Times New Roman" w:cs="Arial"/>
        </w:rPr>
        <w:t xml:space="preserve"> </w:t>
      </w:r>
      <w:r w:rsidRPr="00EE673A">
        <w:rPr>
          <w:rFonts w:eastAsia="Times New Roman" w:cs="Arial"/>
        </w:rPr>
        <w:t>Συνιστάται η έναρξη πρόσληψης αυτού του συμπληρώματος διατροφής να γίνεται από την αρχή του μητρικού θηλασμού.</w:t>
      </w:r>
    </w:p>
    <w:p w:rsidR="00EE673A" w:rsidRPr="0052769A" w:rsidRDefault="00EE673A" w:rsidP="00A34C25">
      <w:pPr>
        <w:spacing w:after="0" w:line="240" w:lineRule="auto"/>
      </w:pPr>
    </w:p>
    <w:p w:rsidR="00EE673A" w:rsidRPr="00A4228D" w:rsidRDefault="00EE673A" w:rsidP="00C61C1C">
      <w:pPr>
        <w:spacing w:after="0" w:line="240" w:lineRule="auto"/>
        <w:jc w:val="both"/>
        <w:rPr>
          <w:b/>
          <w:u w:val="single"/>
        </w:rPr>
      </w:pPr>
      <w:r w:rsidRPr="0052769A">
        <w:rPr>
          <w:b/>
          <w:u w:val="single"/>
          <w:lang w:val="en-US"/>
        </w:rPr>
        <w:t>V</w:t>
      </w:r>
      <w:r w:rsidRPr="00A4228D">
        <w:rPr>
          <w:b/>
          <w:u w:val="single"/>
        </w:rPr>
        <w:t>.</w:t>
      </w:r>
      <w:r>
        <w:rPr>
          <w:b/>
          <w:u w:val="single"/>
        </w:rPr>
        <w:t xml:space="preserve"> Προειδοποιήσεις</w:t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  <w:r w:rsidR="00C61C1C">
        <w:rPr>
          <w:b/>
          <w:u w:val="single"/>
        </w:rPr>
        <w:tab/>
      </w:r>
    </w:p>
    <w:p w:rsidR="00EE673A" w:rsidRPr="0052769A" w:rsidRDefault="00EE673A" w:rsidP="00A34C25">
      <w:pPr>
        <w:spacing w:after="0" w:line="240" w:lineRule="auto"/>
      </w:pPr>
    </w:p>
    <w:p w:rsidR="00EE673A" w:rsidRPr="00A4228D" w:rsidRDefault="00EE673A" w:rsidP="00A34C25">
      <w:pPr>
        <w:pStyle w:val="a5"/>
        <w:numPr>
          <w:ilvl w:val="0"/>
          <w:numId w:val="2"/>
        </w:numPr>
        <w:spacing w:after="0" w:line="240" w:lineRule="auto"/>
        <w:ind w:left="567" w:hanging="567"/>
      </w:pPr>
      <w:r w:rsidRPr="00A4228D">
        <w:t>Μην το χρησιμοποιείτε σε περίπτωση υπερευαισθησίας στο ιχθυέλαιο, επειδή το I</w:t>
      </w:r>
      <w:r w:rsidR="00B601B4" w:rsidRPr="00A4228D">
        <w:t>ofolen</w:t>
      </w:r>
      <w:r w:rsidR="00B601B4">
        <w:t xml:space="preserve"> </w:t>
      </w:r>
      <w:r w:rsidR="00B601B4" w:rsidRPr="00EE673A">
        <w:rPr>
          <w:rFonts w:eastAsia="Times New Roman" w:cs="Arial"/>
        </w:rPr>
        <w:t>Lactancia</w:t>
      </w:r>
      <w:r w:rsidRPr="00A4228D">
        <w:t xml:space="preserve"> περιέχει ωμέγα</w:t>
      </w:r>
      <w:r w:rsidR="00B601B4">
        <w:noBreakHyphen/>
      </w:r>
      <w:r w:rsidRPr="00A4228D">
        <w:t>3 λιπαρά οξέα.</w:t>
      </w:r>
    </w:p>
    <w:p w:rsidR="00EE673A" w:rsidRPr="00A4228D" w:rsidRDefault="00EE673A" w:rsidP="00A34C25">
      <w:pPr>
        <w:pStyle w:val="a5"/>
        <w:numPr>
          <w:ilvl w:val="0"/>
          <w:numId w:val="2"/>
        </w:numPr>
        <w:spacing w:after="0" w:line="240" w:lineRule="auto"/>
        <w:ind w:left="567" w:hanging="567"/>
      </w:pPr>
      <w:r w:rsidRPr="00A4228D">
        <w:t>Τα συμπληρώματα διατροφής δεν πρέπει να χρησιμοποιούνται ως υποκατάστατο μίας ποικίλης και ισορροπημένης διατροφής και ενός υγιεινού τρόπου ζωής.</w:t>
      </w:r>
    </w:p>
    <w:p w:rsidR="00EE673A" w:rsidRPr="00A4228D" w:rsidRDefault="00EE673A" w:rsidP="00A34C25">
      <w:pPr>
        <w:pStyle w:val="a5"/>
        <w:numPr>
          <w:ilvl w:val="0"/>
          <w:numId w:val="2"/>
        </w:numPr>
        <w:spacing w:after="0" w:line="240" w:lineRule="auto"/>
        <w:ind w:left="567" w:hanging="567"/>
      </w:pPr>
      <w:r w:rsidRPr="00A4228D">
        <w:t>Να μη γίνεται υπέρβαση της συνιστώμενης ημερήσιας δόσης.</w:t>
      </w:r>
    </w:p>
    <w:p w:rsidR="00EE673A" w:rsidRPr="00A4228D" w:rsidRDefault="00EE673A" w:rsidP="00A34C25">
      <w:pPr>
        <w:pStyle w:val="a5"/>
        <w:numPr>
          <w:ilvl w:val="0"/>
          <w:numId w:val="2"/>
        </w:numPr>
        <w:spacing w:after="0" w:line="240" w:lineRule="auto"/>
        <w:ind w:left="567" w:hanging="567"/>
      </w:pPr>
      <w:r w:rsidRPr="00A4228D">
        <w:lastRenderedPageBreak/>
        <w:t>Το προϊόν αυτό δεν προορίζεται για την πρόληψη, αγωγή ή θεραπεία ανθρώπινης νόσου. Συμβουλευτείτε τον γιατρό σας αν είστε έγκυος, θηλάζετε, βρίσκεστε υπό φαρμακευτική αγωγή ή αντιμετωπίζετε προβλήματα υγείας.</w:t>
      </w:r>
    </w:p>
    <w:p w:rsidR="00EE673A" w:rsidRPr="00A4228D" w:rsidRDefault="00EE673A" w:rsidP="00A34C25">
      <w:pPr>
        <w:pStyle w:val="a5"/>
        <w:numPr>
          <w:ilvl w:val="0"/>
          <w:numId w:val="2"/>
        </w:numPr>
        <w:spacing w:after="0" w:line="240" w:lineRule="auto"/>
        <w:ind w:left="567" w:hanging="567"/>
      </w:pPr>
      <w:r w:rsidRPr="00A4228D">
        <w:rPr>
          <w:lang w:val="en-US"/>
        </w:rPr>
        <w:t>N</w:t>
      </w:r>
      <w:r w:rsidRPr="00A4228D">
        <w:t>α φυλάσσεται σε μέρη που δεν το φθάνουν τα μικρά παιδιά.</w:t>
      </w:r>
    </w:p>
    <w:p w:rsidR="00EE673A" w:rsidRPr="00A4228D" w:rsidRDefault="00EE673A" w:rsidP="00A34C25">
      <w:pPr>
        <w:pStyle w:val="a5"/>
        <w:numPr>
          <w:ilvl w:val="0"/>
          <w:numId w:val="2"/>
        </w:numPr>
        <w:spacing w:after="0" w:line="240" w:lineRule="auto"/>
        <w:ind w:left="567" w:hanging="567"/>
        <w:rPr>
          <w:bCs/>
        </w:rPr>
      </w:pPr>
      <w:r w:rsidRPr="00A4228D">
        <w:rPr>
          <w:bCs/>
        </w:rPr>
        <w:t>Φυλάσσετε σε δροσερό και ξηρό μέρος</w:t>
      </w:r>
    </w:p>
    <w:p w:rsidR="00EE673A" w:rsidRDefault="00EE673A" w:rsidP="00A34C25">
      <w:pPr>
        <w:pStyle w:val="a5"/>
        <w:numPr>
          <w:ilvl w:val="0"/>
          <w:numId w:val="2"/>
        </w:numPr>
        <w:spacing w:after="0" w:line="240" w:lineRule="auto"/>
        <w:ind w:left="567" w:hanging="567"/>
        <w:rPr>
          <w:bCs/>
        </w:rPr>
      </w:pPr>
      <w:r w:rsidRPr="00A4228D">
        <w:rPr>
          <w:bCs/>
        </w:rPr>
        <w:t>Ανάλωση κατά προτίμηση πριν από την ημερομηνία που αναγράφεται στη συσκευασία.</w:t>
      </w:r>
    </w:p>
    <w:p w:rsidR="00EE673A" w:rsidRPr="00A4228D" w:rsidRDefault="00EE673A" w:rsidP="00A34C25">
      <w:pPr>
        <w:autoSpaceDE w:val="0"/>
        <w:autoSpaceDN w:val="0"/>
        <w:adjustRightInd w:val="0"/>
        <w:spacing w:after="0" w:line="240" w:lineRule="auto"/>
      </w:pPr>
    </w:p>
    <w:p w:rsidR="00EE673A" w:rsidRPr="00A4228D" w:rsidRDefault="00EE673A" w:rsidP="00A34C25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EE673A" w:rsidRDefault="00EE673A" w:rsidP="00A34C25">
      <w:pPr>
        <w:spacing w:after="0" w:line="240" w:lineRule="auto"/>
        <w:rPr>
          <w:bCs/>
        </w:rPr>
      </w:pPr>
      <w:r w:rsidRPr="00A4228D">
        <w:rPr>
          <w:b/>
          <w:bCs/>
        </w:rPr>
        <w:t>Υπεύθυνος Κυκλοφορίας:</w:t>
      </w:r>
    </w:p>
    <w:p w:rsidR="00EE673A" w:rsidRPr="00A4228D" w:rsidRDefault="00EE673A" w:rsidP="00A34C25">
      <w:pPr>
        <w:spacing w:after="0" w:line="240" w:lineRule="auto"/>
        <w:rPr>
          <w:b/>
          <w:bCs/>
        </w:rPr>
      </w:pPr>
      <w:r w:rsidRPr="00031A0B">
        <w:rPr>
          <w:bCs/>
        </w:rPr>
        <w:t>ITF HELLAS A.E.,</w:t>
      </w:r>
      <w:r w:rsidRPr="00A4228D">
        <w:rPr>
          <w:bCs/>
        </w:rPr>
        <w:t xml:space="preserve"> Άρεως 103 &amp; Αγίας Τριάδος 36, 175 62 Παλαιό Φάληρο, Ελλάδα</w:t>
      </w:r>
    </w:p>
    <w:p w:rsidR="00EE673A" w:rsidRPr="00D5799B" w:rsidRDefault="00EE673A" w:rsidP="00A34C25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D5799B" w:rsidRDefault="00D5799B" w:rsidP="00A34C25">
      <w:pPr>
        <w:autoSpaceDE w:val="0"/>
        <w:autoSpaceDN w:val="0"/>
        <w:adjustRightInd w:val="0"/>
        <w:spacing w:after="0" w:line="240" w:lineRule="auto"/>
        <w:rPr>
          <w:bCs/>
          <w:lang w:val="en-US"/>
        </w:rPr>
      </w:pPr>
      <w:hyperlink r:id="rId7" w:history="1">
        <w:r w:rsidRPr="009F1600">
          <w:rPr>
            <w:rStyle w:val="-"/>
            <w:bCs/>
            <w:lang w:val="en-US"/>
          </w:rPr>
          <w:t>www.iofolen.gr</w:t>
        </w:r>
      </w:hyperlink>
    </w:p>
    <w:p w:rsidR="00D5799B" w:rsidRPr="00D5799B" w:rsidRDefault="00D5799B" w:rsidP="00A34C25">
      <w:pPr>
        <w:autoSpaceDE w:val="0"/>
        <w:autoSpaceDN w:val="0"/>
        <w:adjustRightInd w:val="0"/>
        <w:spacing w:after="0" w:line="240" w:lineRule="auto"/>
        <w:rPr>
          <w:bCs/>
          <w:lang w:val="en-US"/>
        </w:rPr>
      </w:pPr>
      <w:bookmarkStart w:id="0" w:name="_GoBack"/>
      <w:bookmarkEnd w:id="0"/>
    </w:p>
    <w:sectPr w:rsidR="00D5799B" w:rsidRPr="00D5799B" w:rsidSect="00906CD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235"/>
    <w:multiLevelType w:val="hybridMultilevel"/>
    <w:tmpl w:val="17B606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400B6"/>
    <w:multiLevelType w:val="hybridMultilevel"/>
    <w:tmpl w:val="D4625C3A"/>
    <w:lvl w:ilvl="0" w:tplc="9CD041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46"/>
    <w:rsid w:val="00031A0B"/>
    <w:rsid w:val="000A1656"/>
    <w:rsid w:val="00124D46"/>
    <w:rsid w:val="00144F4C"/>
    <w:rsid w:val="001A16CE"/>
    <w:rsid w:val="001E600E"/>
    <w:rsid w:val="002450D5"/>
    <w:rsid w:val="00295A76"/>
    <w:rsid w:val="002A0937"/>
    <w:rsid w:val="002C26D7"/>
    <w:rsid w:val="002D6BFF"/>
    <w:rsid w:val="002D7C67"/>
    <w:rsid w:val="002F7033"/>
    <w:rsid w:val="0030771F"/>
    <w:rsid w:val="00316299"/>
    <w:rsid w:val="00334523"/>
    <w:rsid w:val="00334A60"/>
    <w:rsid w:val="004260F5"/>
    <w:rsid w:val="004A6AED"/>
    <w:rsid w:val="00566C67"/>
    <w:rsid w:val="005E5218"/>
    <w:rsid w:val="006366D9"/>
    <w:rsid w:val="00702975"/>
    <w:rsid w:val="007B7C66"/>
    <w:rsid w:val="00810524"/>
    <w:rsid w:val="00861EB9"/>
    <w:rsid w:val="008C108F"/>
    <w:rsid w:val="00906CDE"/>
    <w:rsid w:val="00962567"/>
    <w:rsid w:val="009F037C"/>
    <w:rsid w:val="00A34C25"/>
    <w:rsid w:val="00AB7AE5"/>
    <w:rsid w:val="00AC2F87"/>
    <w:rsid w:val="00AE122F"/>
    <w:rsid w:val="00B601B4"/>
    <w:rsid w:val="00B6346D"/>
    <w:rsid w:val="00B67C21"/>
    <w:rsid w:val="00BF10B3"/>
    <w:rsid w:val="00C24681"/>
    <w:rsid w:val="00C61C1C"/>
    <w:rsid w:val="00C6317B"/>
    <w:rsid w:val="00C63C93"/>
    <w:rsid w:val="00C91FB5"/>
    <w:rsid w:val="00CD686E"/>
    <w:rsid w:val="00D5799B"/>
    <w:rsid w:val="00DF0CD1"/>
    <w:rsid w:val="00DF5696"/>
    <w:rsid w:val="00E0780E"/>
    <w:rsid w:val="00EE673A"/>
    <w:rsid w:val="00F44D77"/>
    <w:rsid w:val="00FE686D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24D46"/>
    <w:rPr>
      <w:b/>
      <w:bCs/>
    </w:rPr>
  </w:style>
  <w:style w:type="character" w:customStyle="1" w:styleId="hps">
    <w:name w:val="hps"/>
    <w:basedOn w:val="a0"/>
    <w:rsid w:val="00124D46"/>
  </w:style>
  <w:style w:type="character" w:styleId="a4">
    <w:name w:val="Emphasis"/>
    <w:basedOn w:val="a0"/>
    <w:uiPriority w:val="20"/>
    <w:qFormat/>
    <w:rsid w:val="00124D46"/>
    <w:rPr>
      <w:i/>
      <w:iCs/>
    </w:rPr>
  </w:style>
  <w:style w:type="paragraph" w:styleId="a5">
    <w:name w:val="List Paragraph"/>
    <w:basedOn w:val="a"/>
    <w:uiPriority w:val="34"/>
    <w:qFormat/>
    <w:rsid w:val="00EE673A"/>
    <w:pPr>
      <w:ind w:left="720"/>
      <w:contextualSpacing/>
    </w:pPr>
  </w:style>
  <w:style w:type="table" w:styleId="a6">
    <w:name w:val="Table Grid"/>
    <w:basedOn w:val="a1"/>
    <w:uiPriority w:val="59"/>
    <w:rsid w:val="00EE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FE686D"/>
  </w:style>
  <w:style w:type="character" w:customStyle="1" w:styleId="atn">
    <w:name w:val="atn"/>
    <w:basedOn w:val="a0"/>
    <w:rsid w:val="002D6BFF"/>
  </w:style>
  <w:style w:type="character" w:styleId="-">
    <w:name w:val="Hyperlink"/>
    <w:basedOn w:val="a0"/>
    <w:uiPriority w:val="99"/>
    <w:unhideWhenUsed/>
    <w:rsid w:val="00D57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24D46"/>
    <w:rPr>
      <w:b/>
      <w:bCs/>
    </w:rPr>
  </w:style>
  <w:style w:type="character" w:customStyle="1" w:styleId="hps">
    <w:name w:val="hps"/>
    <w:basedOn w:val="a0"/>
    <w:rsid w:val="00124D46"/>
  </w:style>
  <w:style w:type="character" w:styleId="a4">
    <w:name w:val="Emphasis"/>
    <w:basedOn w:val="a0"/>
    <w:uiPriority w:val="20"/>
    <w:qFormat/>
    <w:rsid w:val="00124D46"/>
    <w:rPr>
      <w:i/>
      <w:iCs/>
    </w:rPr>
  </w:style>
  <w:style w:type="paragraph" w:styleId="a5">
    <w:name w:val="List Paragraph"/>
    <w:basedOn w:val="a"/>
    <w:uiPriority w:val="34"/>
    <w:qFormat/>
    <w:rsid w:val="00EE673A"/>
    <w:pPr>
      <w:ind w:left="720"/>
      <w:contextualSpacing/>
    </w:pPr>
  </w:style>
  <w:style w:type="table" w:styleId="a6">
    <w:name w:val="Table Grid"/>
    <w:basedOn w:val="a1"/>
    <w:uiPriority w:val="59"/>
    <w:rsid w:val="00EE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FE686D"/>
  </w:style>
  <w:style w:type="character" w:customStyle="1" w:styleId="atn">
    <w:name w:val="atn"/>
    <w:basedOn w:val="a0"/>
    <w:rsid w:val="002D6BFF"/>
  </w:style>
  <w:style w:type="character" w:styleId="-">
    <w:name w:val="Hyperlink"/>
    <w:basedOn w:val="a0"/>
    <w:uiPriority w:val="99"/>
    <w:unhideWhenUsed/>
    <w:rsid w:val="00D57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42219">
      <w:bodyDiv w:val="1"/>
      <w:marLeft w:val="46"/>
      <w:marRight w:val="46"/>
      <w:marTop w:val="46"/>
      <w:marBottom w:val="4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ofolen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5AD26-FDFC-4F9B-96B0-BA8FFEE1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piperoudis</dc:creator>
  <cp:lastModifiedBy>Kaliopi Leontaridis</cp:lastModifiedBy>
  <cp:revision>3</cp:revision>
  <dcterms:created xsi:type="dcterms:W3CDTF">2017-01-26T16:10:00Z</dcterms:created>
  <dcterms:modified xsi:type="dcterms:W3CDTF">2017-01-26T16:13:00Z</dcterms:modified>
</cp:coreProperties>
</file>